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3E" w:rsidRDefault="00D4723E" w:rsidP="00965C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OXFAM</w:t>
      </w:r>
    </w:p>
    <w:p w:rsidR="00D4723E" w:rsidRDefault="00CA753B" w:rsidP="00965C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POLICY </w:t>
      </w:r>
      <w:r w:rsidR="00D4723E">
        <w:rPr>
          <w:rFonts w:ascii="Arial" w:hAnsi="Arial" w:cs="Arial"/>
          <w:b/>
        </w:rPr>
        <w:t xml:space="preserve">FOR FUNDRAISING </w:t>
      </w:r>
      <w:r w:rsidR="006904DD">
        <w:rPr>
          <w:rFonts w:ascii="Arial" w:hAnsi="Arial" w:cs="Arial"/>
          <w:b/>
        </w:rPr>
        <w:t xml:space="preserve">AND RESPONDING TO </w:t>
      </w:r>
      <w:r w:rsidR="00996CFC">
        <w:rPr>
          <w:rFonts w:ascii="Arial" w:hAnsi="Arial" w:cs="Arial"/>
          <w:b/>
        </w:rPr>
        <w:t>PEOPLE IN VULNERABLE CIRCUMSTANCES</w:t>
      </w:r>
      <w:r w:rsidR="00965C58">
        <w:rPr>
          <w:rFonts w:ascii="Arial" w:hAnsi="Arial" w:cs="Arial"/>
          <w:b/>
        </w:rPr>
        <w:t xml:space="preserve"> OR LACKING CAPACITY</w:t>
      </w:r>
    </w:p>
    <w:p w:rsidR="002C05FB" w:rsidRDefault="002C05FB" w:rsidP="002A5741">
      <w:pPr>
        <w:spacing w:before="120" w:after="0" w:line="240" w:lineRule="auto"/>
        <w:jc w:val="both"/>
        <w:rPr>
          <w:rFonts w:ascii="Arial" w:hAnsi="Arial" w:cs="Arial"/>
          <w:b/>
        </w:rPr>
      </w:pPr>
    </w:p>
    <w:p w:rsidR="002C05FB" w:rsidRDefault="00D4723E" w:rsidP="002A5741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2A5741">
        <w:rPr>
          <w:rFonts w:ascii="Arial" w:hAnsi="Arial" w:cs="Arial"/>
          <w:b/>
        </w:rPr>
        <w:t>Policy Statement</w:t>
      </w:r>
    </w:p>
    <w:p w:rsidR="002C05FB" w:rsidRDefault="002C05FB" w:rsidP="003C5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7312" w:rsidRDefault="002C05FB" w:rsidP="003C5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Giving to your favourite causes </w:t>
      </w:r>
      <w:r w:rsidR="00140865" w:rsidRPr="002A5741">
        <w:rPr>
          <w:rFonts w:ascii="Arial" w:hAnsi="Arial" w:cs="Arial"/>
        </w:rPr>
        <w:t xml:space="preserve">should be a positive experience for all, whether an existing donor or potential new supporter. </w:t>
      </w:r>
      <w:r w:rsidR="00EE3B7F" w:rsidRPr="002A5741">
        <w:rPr>
          <w:rFonts w:ascii="Arial" w:hAnsi="Arial" w:cs="Arial"/>
        </w:rPr>
        <w:t xml:space="preserve"> </w:t>
      </w:r>
      <w:r w:rsidR="00D4723E" w:rsidRPr="002A5741">
        <w:rPr>
          <w:rFonts w:ascii="Arial" w:hAnsi="Arial" w:cs="Arial"/>
        </w:rPr>
        <w:t xml:space="preserve">Oxfam </w:t>
      </w:r>
      <w:r w:rsidR="00C61432" w:rsidRPr="002A5741">
        <w:rPr>
          <w:rFonts w:ascii="Arial" w:hAnsi="Arial" w:cs="Arial"/>
        </w:rPr>
        <w:t xml:space="preserve">GB </w:t>
      </w:r>
      <w:r w:rsidR="00D4723E" w:rsidRPr="002A5741">
        <w:rPr>
          <w:rFonts w:ascii="Arial" w:hAnsi="Arial" w:cs="Arial"/>
        </w:rPr>
        <w:t xml:space="preserve">recognises that </w:t>
      </w:r>
      <w:r w:rsidR="00C61432" w:rsidRPr="002A5741">
        <w:rPr>
          <w:rFonts w:ascii="Arial" w:hAnsi="Arial" w:cs="Arial"/>
        </w:rPr>
        <w:t xml:space="preserve">some of the many people that </w:t>
      </w:r>
      <w:r w:rsidR="00B77A6F">
        <w:rPr>
          <w:rFonts w:ascii="Arial" w:hAnsi="Arial" w:cs="Arial"/>
        </w:rPr>
        <w:t>we</w:t>
      </w:r>
      <w:r w:rsidR="00C61432" w:rsidRPr="002A5741">
        <w:rPr>
          <w:rFonts w:ascii="Arial" w:hAnsi="Arial" w:cs="Arial"/>
        </w:rPr>
        <w:t xml:space="preserve"> engage with through </w:t>
      </w:r>
      <w:r w:rsidR="00B77A6F">
        <w:rPr>
          <w:rFonts w:ascii="Arial" w:hAnsi="Arial" w:cs="Arial"/>
        </w:rPr>
        <w:t>our</w:t>
      </w:r>
      <w:r w:rsidR="00C61432" w:rsidRPr="002A5741">
        <w:rPr>
          <w:rFonts w:ascii="Arial" w:hAnsi="Arial" w:cs="Arial"/>
        </w:rPr>
        <w:t xml:space="preserve"> fundraising activity will not </w:t>
      </w:r>
      <w:r w:rsidR="00B77A6F">
        <w:rPr>
          <w:rFonts w:ascii="Arial" w:hAnsi="Arial" w:cs="Arial"/>
        </w:rPr>
        <w:t xml:space="preserve">always </w:t>
      </w:r>
      <w:r w:rsidR="00C61432" w:rsidRPr="002A5741">
        <w:rPr>
          <w:rFonts w:ascii="Arial" w:hAnsi="Arial" w:cs="Arial"/>
        </w:rPr>
        <w:t xml:space="preserve">have the </w:t>
      </w:r>
      <w:r w:rsidR="00D4723E" w:rsidRPr="002A5741">
        <w:rPr>
          <w:rFonts w:ascii="Arial" w:hAnsi="Arial" w:cs="Arial"/>
        </w:rPr>
        <w:t>capacity</w:t>
      </w:r>
      <w:r w:rsidR="00C61432" w:rsidRPr="002A5741">
        <w:rPr>
          <w:rFonts w:ascii="Arial" w:hAnsi="Arial" w:cs="Arial"/>
        </w:rPr>
        <w:t xml:space="preserve">, at the point of the interaction, </w:t>
      </w:r>
      <w:r w:rsidR="00D4723E" w:rsidRPr="002A5741">
        <w:rPr>
          <w:rFonts w:ascii="Arial" w:hAnsi="Arial" w:cs="Arial"/>
        </w:rPr>
        <w:t xml:space="preserve">to fully understand the nature of the </w:t>
      </w:r>
      <w:r w:rsidR="00582C32" w:rsidRPr="002A5741">
        <w:rPr>
          <w:rFonts w:ascii="Arial" w:hAnsi="Arial" w:cs="Arial"/>
        </w:rPr>
        <w:t xml:space="preserve">donation </w:t>
      </w:r>
      <w:r w:rsidR="00D4723E" w:rsidRPr="002A5741">
        <w:rPr>
          <w:rFonts w:ascii="Arial" w:hAnsi="Arial" w:cs="Arial"/>
        </w:rPr>
        <w:t xml:space="preserve">they are </w:t>
      </w:r>
      <w:r w:rsidR="00DB7312" w:rsidRPr="002A5741">
        <w:rPr>
          <w:rFonts w:ascii="Arial" w:hAnsi="Arial" w:cs="Arial"/>
        </w:rPr>
        <w:t xml:space="preserve">being asked to </w:t>
      </w:r>
      <w:r w:rsidR="00582C32" w:rsidRPr="002A5741">
        <w:rPr>
          <w:rFonts w:ascii="Arial" w:hAnsi="Arial" w:cs="Arial"/>
        </w:rPr>
        <w:t xml:space="preserve">give to </w:t>
      </w:r>
      <w:r w:rsidR="00D4723E" w:rsidRPr="002A5741">
        <w:rPr>
          <w:rFonts w:ascii="Arial" w:hAnsi="Arial" w:cs="Arial"/>
        </w:rPr>
        <w:t>Oxfam</w:t>
      </w:r>
      <w:r w:rsidR="00CA753B" w:rsidRPr="002A5741">
        <w:rPr>
          <w:rFonts w:ascii="Arial" w:hAnsi="Arial" w:cs="Arial"/>
        </w:rPr>
        <w:t>,</w:t>
      </w:r>
      <w:r w:rsidR="00D4723E" w:rsidRPr="002A5741">
        <w:rPr>
          <w:rFonts w:ascii="Arial" w:hAnsi="Arial" w:cs="Arial"/>
        </w:rPr>
        <w:t xml:space="preserve"> or the consequences of </w:t>
      </w:r>
      <w:r w:rsidR="00582C32" w:rsidRPr="002A5741">
        <w:rPr>
          <w:rFonts w:ascii="Arial" w:hAnsi="Arial" w:cs="Arial"/>
        </w:rPr>
        <w:t xml:space="preserve">making </w:t>
      </w:r>
      <w:r w:rsidR="00965C58" w:rsidRPr="002A5741">
        <w:rPr>
          <w:rFonts w:ascii="Arial" w:hAnsi="Arial" w:cs="Arial"/>
        </w:rPr>
        <w:t xml:space="preserve">that </w:t>
      </w:r>
      <w:r w:rsidR="00582C32" w:rsidRPr="002A5741">
        <w:rPr>
          <w:rFonts w:ascii="Arial" w:hAnsi="Arial" w:cs="Arial"/>
        </w:rPr>
        <w:t xml:space="preserve">donation. </w:t>
      </w:r>
      <w:r w:rsidR="00DB7312" w:rsidRPr="002A5741">
        <w:rPr>
          <w:rFonts w:ascii="Arial" w:hAnsi="Arial" w:cs="Arial"/>
        </w:rPr>
        <w:t>Oxfam also understands that people in vulnerable circumstances may need further support before making a decision about whether to make a donation.</w:t>
      </w:r>
    </w:p>
    <w:p w:rsidR="003C594C" w:rsidRPr="002A5741" w:rsidRDefault="003C594C" w:rsidP="003C5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2C32" w:rsidRDefault="001253D0" w:rsidP="003C594C">
      <w:pPr>
        <w:spacing w:after="0" w:line="240" w:lineRule="auto"/>
        <w:jc w:val="both"/>
        <w:rPr>
          <w:rFonts w:ascii="Arial" w:hAnsi="Arial" w:cs="Arial"/>
        </w:rPr>
      </w:pPr>
      <w:r w:rsidRPr="002A5741">
        <w:rPr>
          <w:rFonts w:ascii="Arial" w:hAnsi="Arial" w:cs="Arial"/>
        </w:rPr>
        <w:t>When</w:t>
      </w:r>
      <w:r w:rsidR="008C2406" w:rsidRPr="002A5741">
        <w:rPr>
          <w:rFonts w:ascii="Arial" w:hAnsi="Arial" w:cs="Arial"/>
        </w:rPr>
        <w:t xml:space="preserve">ever we suspect that someone </w:t>
      </w:r>
      <w:r w:rsidR="00C43B07" w:rsidRPr="002A5741">
        <w:rPr>
          <w:rFonts w:ascii="Arial" w:hAnsi="Arial" w:cs="Arial"/>
        </w:rPr>
        <w:t>we engage</w:t>
      </w:r>
      <w:r w:rsidR="008C2406" w:rsidRPr="002A5741">
        <w:rPr>
          <w:rFonts w:ascii="Arial" w:hAnsi="Arial" w:cs="Arial"/>
        </w:rPr>
        <w:t xml:space="preserve"> with </w:t>
      </w:r>
      <w:r w:rsidR="00DB7312" w:rsidRPr="002A5741">
        <w:rPr>
          <w:rFonts w:ascii="Arial" w:hAnsi="Arial" w:cs="Arial"/>
        </w:rPr>
        <w:t xml:space="preserve">is </w:t>
      </w:r>
      <w:r w:rsidR="00C43B07" w:rsidRPr="002A5741">
        <w:rPr>
          <w:rFonts w:ascii="Arial" w:hAnsi="Arial" w:cs="Arial"/>
        </w:rPr>
        <w:t>lack</w:t>
      </w:r>
      <w:r w:rsidR="00C43B07">
        <w:rPr>
          <w:rFonts w:ascii="Arial" w:hAnsi="Arial" w:cs="Arial"/>
        </w:rPr>
        <w:t>i</w:t>
      </w:r>
      <w:r w:rsidR="00C43B07" w:rsidRPr="002A5741">
        <w:rPr>
          <w:rFonts w:ascii="Arial" w:hAnsi="Arial" w:cs="Arial"/>
        </w:rPr>
        <w:t>ng</w:t>
      </w:r>
      <w:r w:rsidR="00DB7312" w:rsidRPr="002A5741">
        <w:rPr>
          <w:rFonts w:ascii="Arial" w:hAnsi="Arial" w:cs="Arial"/>
        </w:rPr>
        <w:t xml:space="preserve"> capacity or </w:t>
      </w:r>
      <w:r w:rsidR="008C2406" w:rsidRPr="002A5741">
        <w:rPr>
          <w:rFonts w:ascii="Arial" w:hAnsi="Arial" w:cs="Arial"/>
        </w:rPr>
        <w:t xml:space="preserve">is </w:t>
      </w:r>
      <w:r w:rsidR="00AA0CAB" w:rsidRPr="002A5741">
        <w:rPr>
          <w:rFonts w:ascii="Arial" w:hAnsi="Arial" w:cs="Arial"/>
        </w:rPr>
        <w:t xml:space="preserve">in </w:t>
      </w:r>
      <w:r w:rsidR="008C2406" w:rsidRPr="002A5741">
        <w:rPr>
          <w:rFonts w:ascii="Arial" w:hAnsi="Arial" w:cs="Arial"/>
        </w:rPr>
        <w:t>vulnerable</w:t>
      </w:r>
      <w:r w:rsidR="00AA0CAB" w:rsidRPr="002A5741">
        <w:rPr>
          <w:rFonts w:ascii="Arial" w:hAnsi="Arial" w:cs="Arial"/>
        </w:rPr>
        <w:t xml:space="preserve"> circumstances</w:t>
      </w:r>
      <w:r w:rsidR="00B2028C" w:rsidRPr="002A5741">
        <w:rPr>
          <w:rFonts w:ascii="Arial" w:hAnsi="Arial" w:cs="Arial"/>
        </w:rPr>
        <w:t>,</w:t>
      </w:r>
      <w:r w:rsidR="008C2406" w:rsidRPr="002A5741">
        <w:rPr>
          <w:rFonts w:ascii="Arial" w:hAnsi="Arial" w:cs="Arial"/>
        </w:rPr>
        <w:t xml:space="preserve"> we will </w:t>
      </w:r>
      <w:r w:rsidR="002C05FB">
        <w:rPr>
          <w:rFonts w:ascii="Arial" w:hAnsi="Arial" w:cs="Arial"/>
        </w:rPr>
        <w:t>t</w:t>
      </w:r>
      <w:r w:rsidR="00B77A6F">
        <w:rPr>
          <w:rFonts w:ascii="Arial" w:hAnsi="Arial" w:cs="Arial"/>
        </w:rPr>
        <w:t xml:space="preserve">ake steps to terminate the contact in </w:t>
      </w:r>
      <w:r w:rsidR="00C43B07">
        <w:rPr>
          <w:rFonts w:ascii="Arial" w:hAnsi="Arial" w:cs="Arial"/>
        </w:rPr>
        <w:t>a</w:t>
      </w:r>
      <w:r w:rsidR="00B77A6F">
        <w:rPr>
          <w:rFonts w:ascii="Arial" w:hAnsi="Arial" w:cs="Arial"/>
        </w:rPr>
        <w:t xml:space="preserve"> way which seeks to protect that person while protecting their dignity and any desire they have expressed to support Oxfam. </w:t>
      </w:r>
      <w:r w:rsidR="00C61432" w:rsidRPr="002A5741">
        <w:rPr>
          <w:rFonts w:ascii="Arial" w:hAnsi="Arial" w:cs="Arial"/>
        </w:rPr>
        <w:t xml:space="preserve">We recognise that everyone has the right to support their favourite causes and charities </w:t>
      </w:r>
      <w:r w:rsidR="00B77A6F">
        <w:rPr>
          <w:rFonts w:ascii="Arial" w:hAnsi="Arial" w:cs="Arial"/>
        </w:rPr>
        <w:t xml:space="preserve">but we also recognise that </w:t>
      </w:r>
      <w:r w:rsidR="00C61432" w:rsidRPr="002A5741">
        <w:rPr>
          <w:rFonts w:ascii="Arial" w:hAnsi="Arial" w:cs="Arial"/>
        </w:rPr>
        <w:t xml:space="preserve">Oxfam has an obligation to protect those in vulnerable circumstances. </w:t>
      </w:r>
    </w:p>
    <w:p w:rsidR="003C594C" w:rsidRPr="002A5741" w:rsidRDefault="003C594C" w:rsidP="003C594C">
      <w:pPr>
        <w:spacing w:after="0" w:line="240" w:lineRule="auto"/>
        <w:jc w:val="both"/>
        <w:rPr>
          <w:rFonts w:ascii="Arial" w:hAnsi="Arial" w:cs="Arial"/>
        </w:rPr>
      </w:pPr>
    </w:p>
    <w:p w:rsidR="008C2406" w:rsidRPr="002A5741" w:rsidRDefault="00C61432" w:rsidP="003C594C">
      <w:pPr>
        <w:spacing w:after="0" w:line="240" w:lineRule="auto"/>
        <w:jc w:val="both"/>
        <w:rPr>
          <w:rFonts w:ascii="Arial" w:hAnsi="Arial" w:cs="Arial"/>
        </w:rPr>
      </w:pPr>
      <w:r w:rsidRPr="002A5741">
        <w:rPr>
          <w:rFonts w:ascii="Arial" w:hAnsi="Arial" w:cs="Arial"/>
        </w:rPr>
        <w:t xml:space="preserve">In particular, we recognise that some fundraising activity (such as telephone fundraising or door to door fundraising) can create </w:t>
      </w:r>
      <w:r w:rsidR="00140865" w:rsidRPr="002A5741">
        <w:rPr>
          <w:rFonts w:ascii="Arial" w:hAnsi="Arial" w:cs="Arial"/>
        </w:rPr>
        <w:t xml:space="preserve">higher risks in balancing the right to give and the need to protect. In these circumstances, </w:t>
      </w:r>
      <w:r w:rsidR="00140865" w:rsidRPr="002A5741">
        <w:rPr>
          <w:rFonts w:ascii="Arial" w:hAnsi="Arial" w:cs="Arial"/>
          <w:u w:val="single"/>
        </w:rPr>
        <w:t>whenever</w:t>
      </w:r>
      <w:r w:rsidR="00140865" w:rsidRPr="002A5741">
        <w:rPr>
          <w:rFonts w:ascii="Arial" w:hAnsi="Arial" w:cs="Arial"/>
        </w:rPr>
        <w:t xml:space="preserve"> a fundraiser suspects that a person may be vulnerable</w:t>
      </w:r>
      <w:r w:rsidR="002C05FB">
        <w:rPr>
          <w:rFonts w:ascii="Arial" w:hAnsi="Arial" w:cs="Arial"/>
        </w:rPr>
        <w:t>,</w:t>
      </w:r>
      <w:r w:rsidR="00140865" w:rsidRPr="002A5741">
        <w:rPr>
          <w:rFonts w:ascii="Arial" w:hAnsi="Arial" w:cs="Arial"/>
        </w:rPr>
        <w:t xml:space="preserve"> our approach is to </w:t>
      </w:r>
      <w:r w:rsidR="002C05FB">
        <w:rPr>
          <w:rFonts w:ascii="Arial" w:hAnsi="Arial" w:cs="Arial"/>
        </w:rPr>
        <w:t xml:space="preserve">immediately </w:t>
      </w:r>
      <w:r w:rsidR="00140865" w:rsidRPr="002A5741">
        <w:rPr>
          <w:rFonts w:ascii="Arial" w:hAnsi="Arial" w:cs="Arial"/>
        </w:rPr>
        <w:t xml:space="preserve">end </w:t>
      </w:r>
      <w:r w:rsidR="008C2406" w:rsidRPr="002A5741">
        <w:rPr>
          <w:rFonts w:ascii="Arial" w:hAnsi="Arial" w:cs="Arial"/>
        </w:rPr>
        <w:t xml:space="preserve">the </w:t>
      </w:r>
      <w:r w:rsidR="00140865" w:rsidRPr="002A5741">
        <w:rPr>
          <w:rFonts w:ascii="Arial" w:hAnsi="Arial" w:cs="Arial"/>
        </w:rPr>
        <w:t>engagement</w:t>
      </w:r>
      <w:r w:rsidR="002C05FB">
        <w:rPr>
          <w:rFonts w:ascii="Arial" w:hAnsi="Arial" w:cs="Arial"/>
        </w:rPr>
        <w:t>. This should be done</w:t>
      </w:r>
      <w:r w:rsidR="00140865" w:rsidRPr="002A5741">
        <w:rPr>
          <w:rFonts w:ascii="Arial" w:hAnsi="Arial" w:cs="Arial"/>
        </w:rPr>
        <w:t xml:space="preserve"> </w:t>
      </w:r>
      <w:r w:rsidR="008C2406" w:rsidRPr="002A5741">
        <w:rPr>
          <w:rFonts w:ascii="Arial" w:hAnsi="Arial" w:cs="Arial"/>
        </w:rPr>
        <w:t xml:space="preserve">politely </w:t>
      </w:r>
      <w:r w:rsidR="002C05FB">
        <w:rPr>
          <w:rFonts w:ascii="Arial" w:hAnsi="Arial" w:cs="Arial"/>
        </w:rPr>
        <w:t xml:space="preserve">and </w:t>
      </w:r>
      <w:r w:rsidR="008C2406" w:rsidRPr="002A5741">
        <w:rPr>
          <w:rFonts w:ascii="Arial" w:hAnsi="Arial" w:cs="Arial"/>
        </w:rPr>
        <w:t xml:space="preserve">without making </w:t>
      </w:r>
      <w:r w:rsidR="00140865" w:rsidRPr="002A5741">
        <w:rPr>
          <w:rFonts w:ascii="Arial" w:hAnsi="Arial" w:cs="Arial"/>
        </w:rPr>
        <w:t xml:space="preserve">a request for a donation </w:t>
      </w:r>
      <w:r w:rsidR="002C05FB">
        <w:rPr>
          <w:rFonts w:ascii="Arial" w:hAnsi="Arial" w:cs="Arial"/>
        </w:rPr>
        <w:t xml:space="preserve">or </w:t>
      </w:r>
      <w:r w:rsidR="00140865" w:rsidRPr="002A5741">
        <w:rPr>
          <w:rFonts w:ascii="Arial" w:hAnsi="Arial" w:cs="Arial"/>
        </w:rPr>
        <w:t xml:space="preserve">any </w:t>
      </w:r>
      <w:r w:rsidR="008C2406" w:rsidRPr="002A5741">
        <w:rPr>
          <w:rFonts w:ascii="Arial" w:hAnsi="Arial" w:cs="Arial"/>
        </w:rPr>
        <w:t xml:space="preserve">direct enquiries about </w:t>
      </w:r>
      <w:r w:rsidR="00DB7312" w:rsidRPr="002A5741">
        <w:rPr>
          <w:rFonts w:ascii="Arial" w:hAnsi="Arial" w:cs="Arial"/>
        </w:rPr>
        <w:t xml:space="preserve">the individual’s capacity to make a decision or the existence of vulnerable circumstances. </w:t>
      </w:r>
      <w:r w:rsidR="00D426C2">
        <w:rPr>
          <w:rFonts w:ascii="Arial" w:hAnsi="Arial" w:cs="Arial"/>
        </w:rPr>
        <w:t xml:space="preserve">This approach applies in all fundraising areas whether in-house or through a third party. </w:t>
      </w:r>
      <w:r w:rsidR="008C2406" w:rsidRPr="002A5741">
        <w:rPr>
          <w:rFonts w:ascii="Arial" w:hAnsi="Arial" w:cs="Arial"/>
        </w:rPr>
        <w:t xml:space="preserve">Oxfam will provide </w:t>
      </w:r>
      <w:r w:rsidR="00140865" w:rsidRPr="002A5741">
        <w:rPr>
          <w:rFonts w:ascii="Arial" w:hAnsi="Arial" w:cs="Arial"/>
        </w:rPr>
        <w:t xml:space="preserve">alternative </w:t>
      </w:r>
      <w:r w:rsidR="008C2406" w:rsidRPr="002A5741">
        <w:rPr>
          <w:rFonts w:ascii="Arial" w:hAnsi="Arial" w:cs="Arial"/>
        </w:rPr>
        <w:t xml:space="preserve">options for the individual to engage with us once the </w:t>
      </w:r>
      <w:r w:rsidR="00592DC0" w:rsidRPr="002A5741">
        <w:rPr>
          <w:rFonts w:ascii="Arial" w:hAnsi="Arial" w:cs="Arial"/>
        </w:rPr>
        <w:t>conversation</w:t>
      </w:r>
      <w:r w:rsidR="008C2406" w:rsidRPr="002A5741">
        <w:rPr>
          <w:rFonts w:ascii="Arial" w:hAnsi="Arial" w:cs="Arial"/>
        </w:rPr>
        <w:t xml:space="preserve"> has ended</w:t>
      </w:r>
      <w:r w:rsidR="00DB7312" w:rsidRPr="002A5741">
        <w:rPr>
          <w:rFonts w:ascii="Arial" w:hAnsi="Arial" w:cs="Arial"/>
        </w:rPr>
        <w:t xml:space="preserve">, </w:t>
      </w:r>
      <w:r w:rsidR="00140865" w:rsidRPr="002A5741">
        <w:rPr>
          <w:rFonts w:ascii="Arial" w:hAnsi="Arial" w:cs="Arial"/>
        </w:rPr>
        <w:t>thereby upholding the right t</w:t>
      </w:r>
      <w:r w:rsidR="00DB7312" w:rsidRPr="002A5741">
        <w:rPr>
          <w:rFonts w:ascii="Arial" w:hAnsi="Arial" w:cs="Arial"/>
        </w:rPr>
        <w:t xml:space="preserve">hat everybody </w:t>
      </w:r>
      <w:r w:rsidR="00140865" w:rsidRPr="002A5741">
        <w:rPr>
          <w:rFonts w:ascii="Arial" w:hAnsi="Arial" w:cs="Arial"/>
        </w:rPr>
        <w:t xml:space="preserve">has </w:t>
      </w:r>
      <w:r w:rsidR="00DB7312" w:rsidRPr="002A5741">
        <w:rPr>
          <w:rFonts w:ascii="Arial" w:hAnsi="Arial" w:cs="Arial"/>
        </w:rPr>
        <w:t>to donate if they are able to do so.</w:t>
      </w:r>
    </w:p>
    <w:p w:rsidR="003C594C" w:rsidRDefault="003C594C" w:rsidP="003C594C">
      <w:pPr>
        <w:spacing w:after="0" w:line="240" w:lineRule="auto"/>
        <w:jc w:val="both"/>
        <w:rPr>
          <w:rFonts w:ascii="Arial" w:hAnsi="Arial" w:cs="Arial"/>
          <w:b/>
        </w:rPr>
      </w:pPr>
    </w:p>
    <w:p w:rsidR="00B618E9" w:rsidRPr="00B618E9" w:rsidRDefault="00574E7B" w:rsidP="003C594C">
      <w:pPr>
        <w:spacing w:after="0" w:line="240" w:lineRule="auto"/>
        <w:jc w:val="both"/>
        <w:rPr>
          <w:rFonts w:ascii="Arial" w:hAnsi="Arial" w:cs="Arial"/>
          <w:b/>
        </w:rPr>
      </w:pPr>
      <w:r w:rsidRPr="00574E7B">
        <w:rPr>
          <w:rFonts w:ascii="Arial" w:hAnsi="Arial" w:cs="Arial"/>
          <w:b/>
        </w:rPr>
        <w:t>Sector Guidance</w:t>
      </w:r>
    </w:p>
    <w:p w:rsidR="00B618E9" w:rsidRDefault="00B618E9" w:rsidP="003C594C">
      <w:pPr>
        <w:spacing w:after="0" w:line="240" w:lineRule="auto"/>
        <w:jc w:val="both"/>
        <w:rPr>
          <w:rFonts w:ascii="Arial" w:hAnsi="Arial" w:cs="Arial"/>
        </w:rPr>
      </w:pPr>
    </w:p>
    <w:p w:rsidR="00EE3B7F" w:rsidRDefault="00C43B07" w:rsidP="003C59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E3B7F" w:rsidRPr="002A5741">
        <w:rPr>
          <w:rFonts w:ascii="Arial" w:hAnsi="Arial" w:cs="Arial"/>
        </w:rPr>
        <w:t xml:space="preserve">he </w:t>
      </w:r>
      <w:r w:rsidR="00C223E0">
        <w:rPr>
          <w:rFonts w:ascii="Arial" w:hAnsi="Arial" w:cs="Arial"/>
        </w:rPr>
        <w:t xml:space="preserve">Fundraising Regulator’s </w:t>
      </w:r>
      <w:r w:rsidR="00EE3B7F" w:rsidRPr="002A5741">
        <w:rPr>
          <w:rFonts w:ascii="Arial" w:hAnsi="Arial" w:cs="Arial"/>
        </w:rPr>
        <w:t xml:space="preserve">Code of </w:t>
      </w:r>
      <w:r w:rsidR="002A5741" w:rsidRPr="002A5741">
        <w:rPr>
          <w:rFonts w:ascii="Arial" w:hAnsi="Arial" w:cs="Arial"/>
        </w:rPr>
        <w:t>Fundraising</w:t>
      </w:r>
      <w:r w:rsidR="00EE3B7F" w:rsidRPr="002A5741">
        <w:rPr>
          <w:rFonts w:ascii="Arial" w:hAnsi="Arial" w:cs="Arial"/>
        </w:rPr>
        <w:t xml:space="preserve"> practice states that:  </w:t>
      </w:r>
    </w:p>
    <w:p w:rsidR="003C594C" w:rsidRPr="002A5741" w:rsidRDefault="003C594C" w:rsidP="003C594C">
      <w:pPr>
        <w:spacing w:after="0" w:line="240" w:lineRule="auto"/>
        <w:jc w:val="both"/>
        <w:rPr>
          <w:rFonts w:ascii="Arial" w:hAnsi="Arial" w:cs="Arial"/>
        </w:rPr>
      </w:pPr>
    </w:p>
    <w:p w:rsidR="00C61432" w:rsidRPr="002A5741" w:rsidRDefault="00C61432" w:rsidP="003C594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2A5741">
        <w:rPr>
          <w:rFonts w:ascii="Arial" w:hAnsi="Arial" w:cs="Arial"/>
          <w:bCs/>
        </w:rPr>
        <w:t xml:space="preserve">Fundraisers </w:t>
      </w:r>
      <w:r w:rsidR="00055149">
        <w:rPr>
          <w:rFonts w:ascii="Arial" w:hAnsi="Arial" w:cs="Arial"/>
          <w:bCs/>
        </w:rPr>
        <w:t xml:space="preserve">must </w:t>
      </w:r>
      <w:r w:rsidRPr="002A5741">
        <w:rPr>
          <w:rFonts w:ascii="Arial" w:hAnsi="Arial" w:cs="Arial"/>
          <w:bCs/>
        </w:rPr>
        <w:t>take all reasonable steps to treat a donor fairly,</w:t>
      </w:r>
      <w:r w:rsidR="00EE3B7F" w:rsidRPr="002A5741">
        <w:rPr>
          <w:rFonts w:ascii="Arial" w:hAnsi="Arial" w:cs="Arial"/>
          <w:bCs/>
        </w:rPr>
        <w:t xml:space="preserve"> </w:t>
      </w:r>
      <w:r w:rsidRPr="002A5741">
        <w:rPr>
          <w:rFonts w:ascii="Arial" w:hAnsi="Arial" w:cs="Arial"/>
          <w:bCs/>
        </w:rPr>
        <w:t>enabling them to make an informed decision about any</w:t>
      </w:r>
      <w:r w:rsidR="00EE3B7F" w:rsidRPr="002A5741">
        <w:rPr>
          <w:rFonts w:ascii="Arial" w:hAnsi="Arial" w:cs="Arial"/>
          <w:bCs/>
        </w:rPr>
        <w:t xml:space="preserve"> donation. This must </w:t>
      </w:r>
      <w:r w:rsidRPr="002A5741">
        <w:rPr>
          <w:rFonts w:ascii="Arial" w:hAnsi="Arial" w:cs="Arial"/>
          <w:bCs/>
        </w:rPr>
        <w:t>include taking into account the needs of any potential donor who may be in</w:t>
      </w:r>
      <w:r w:rsidR="00EE3B7F" w:rsidRPr="002A5741">
        <w:rPr>
          <w:rFonts w:ascii="Arial" w:hAnsi="Arial" w:cs="Arial"/>
          <w:bCs/>
        </w:rPr>
        <w:t xml:space="preserve"> </w:t>
      </w:r>
      <w:r w:rsidRPr="002A5741">
        <w:rPr>
          <w:rFonts w:ascii="Arial" w:hAnsi="Arial" w:cs="Arial"/>
          <w:bCs/>
        </w:rPr>
        <w:t>a vulnerable circumstance or require additional care and support to make an</w:t>
      </w:r>
      <w:r w:rsidR="00EE3B7F" w:rsidRPr="002A5741">
        <w:rPr>
          <w:rFonts w:ascii="Arial" w:hAnsi="Arial" w:cs="Arial"/>
          <w:bCs/>
        </w:rPr>
        <w:t xml:space="preserve"> </w:t>
      </w:r>
      <w:r w:rsidRPr="002A5741">
        <w:rPr>
          <w:rFonts w:ascii="Arial" w:hAnsi="Arial" w:cs="Arial"/>
          <w:bCs/>
        </w:rPr>
        <w:t>informed decision.</w:t>
      </w:r>
    </w:p>
    <w:p w:rsidR="00C61432" w:rsidRDefault="00C61432" w:rsidP="003C59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A5741">
        <w:rPr>
          <w:rFonts w:ascii="Arial" w:hAnsi="Arial" w:cs="Arial"/>
          <w:bCs/>
        </w:rPr>
        <w:t xml:space="preserve">Fundraisers </w:t>
      </w:r>
      <w:r w:rsidR="00EE3B7F" w:rsidRPr="002A5741">
        <w:rPr>
          <w:rFonts w:ascii="Arial" w:hAnsi="Arial" w:cs="Arial"/>
          <w:bCs/>
        </w:rPr>
        <w:t xml:space="preserve">must not </w:t>
      </w:r>
      <w:r w:rsidRPr="002A5741">
        <w:rPr>
          <w:rFonts w:ascii="Arial" w:hAnsi="Arial" w:cs="Arial"/>
          <w:bCs/>
        </w:rPr>
        <w:t>exploit the credulity, lack of knowledge, apparent</w:t>
      </w:r>
      <w:r w:rsidR="00EE3B7F" w:rsidRPr="002A5741">
        <w:rPr>
          <w:rFonts w:ascii="Arial" w:hAnsi="Arial" w:cs="Arial"/>
          <w:bCs/>
        </w:rPr>
        <w:t xml:space="preserve"> </w:t>
      </w:r>
      <w:r w:rsidRPr="002A5741">
        <w:rPr>
          <w:rFonts w:ascii="Arial" w:hAnsi="Arial" w:cs="Arial"/>
          <w:bCs/>
        </w:rPr>
        <w:t>need for care and support or vulnerable circumstance of any donor at any point</w:t>
      </w:r>
      <w:r w:rsidR="00EE3B7F" w:rsidRPr="002A5741">
        <w:rPr>
          <w:rFonts w:ascii="Arial" w:hAnsi="Arial" w:cs="Arial"/>
          <w:bCs/>
        </w:rPr>
        <w:t xml:space="preserve"> in time.</w:t>
      </w:r>
    </w:p>
    <w:p w:rsidR="00C223E0" w:rsidRPr="00C223E0" w:rsidRDefault="00C223E0" w:rsidP="00C22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C61432" w:rsidRDefault="00C61432" w:rsidP="003C5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5741">
        <w:rPr>
          <w:rFonts w:ascii="Arial" w:hAnsi="Arial" w:cs="Arial"/>
        </w:rPr>
        <w:t>We recognise that it may be difficult in some situations for fundraisers to make a clear</w:t>
      </w:r>
      <w:r w:rsidR="000F7D2C" w:rsidRPr="002A5741">
        <w:rPr>
          <w:rFonts w:ascii="Arial" w:hAnsi="Arial" w:cs="Arial"/>
        </w:rPr>
        <w:t xml:space="preserve"> </w:t>
      </w:r>
      <w:r w:rsidRPr="002A5741">
        <w:rPr>
          <w:rFonts w:ascii="Arial" w:hAnsi="Arial" w:cs="Arial"/>
        </w:rPr>
        <w:t>cut decision as to whether or not someone is in a vulnerable circumstance or lacks</w:t>
      </w:r>
      <w:r w:rsidR="000F7D2C" w:rsidRPr="002A5741">
        <w:rPr>
          <w:rFonts w:ascii="Arial" w:hAnsi="Arial" w:cs="Arial"/>
        </w:rPr>
        <w:t xml:space="preserve"> </w:t>
      </w:r>
      <w:r w:rsidRPr="002A5741">
        <w:rPr>
          <w:rFonts w:ascii="Arial" w:hAnsi="Arial" w:cs="Arial"/>
        </w:rPr>
        <w:t xml:space="preserve">capacity. The person is likely to be a stranger to the </w:t>
      </w:r>
      <w:r w:rsidR="002A5741" w:rsidRPr="002A5741">
        <w:rPr>
          <w:rFonts w:ascii="Arial" w:hAnsi="Arial" w:cs="Arial"/>
        </w:rPr>
        <w:t>fundraiser;</w:t>
      </w:r>
      <w:r w:rsidRPr="002A5741">
        <w:rPr>
          <w:rFonts w:ascii="Arial" w:hAnsi="Arial" w:cs="Arial"/>
        </w:rPr>
        <w:t xml:space="preserve"> the interaction can be</w:t>
      </w:r>
      <w:r w:rsidR="000F7D2C" w:rsidRPr="002A5741">
        <w:rPr>
          <w:rFonts w:ascii="Arial" w:hAnsi="Arial" w:cs="Arial"/>
        </w:rPr>
        <w:t xml:space="preserve"> </w:t>
      </w:r>
      <w:r w:rsidRPr="002A5741">
        <w:rPr>
          <w:rFonts w:ascii="Arial" w:hAnsi="Arial" w:cs="Arial"/>
        </w:rPr>
        <w:t>short-lived and may not be in person.</w:t>
      </w:r>
      <w:r w:rsidR="000F7D2C" w:rsidRPr="002A5741">
        <w:rPr>
          <w:rFonts w:ascii="Arial" w:hAnsi="Arial" w:cs="Arial"/>
        </w:rPr>
        <w:t xml:space="preserve"> </w:t>
      </w:r>
      <w:r w:rsidR="002C05FB">
        <w:rPr>
          <w:rFonts w:ascii="Arial" w:hAnsi="Arial" w:cs="Arial"/>
        </w:rPr>
        <w:t xml:space="preserve">Oxfam GB will provide </w:t>
      </w:r>
      <w:r w:rsidR="000F7D2C" w:rsidRPr="002A5741">
        <w:rPr>
          <w:rFonts w:ascii="Arial" w:hAnsi="Arial" w:cs="Arial"/>
        </w:rPr>
        <w:t>gui</w:t>
      </w:r>
      <w:r w:rsidR="002C05FB">
        <w:rPr>
          <w:rFonts w:ascii="Arial" w:hAnsi="Arial" w:cs="Arial"/>
        </w:rPr>
        <w:t>delines for fundraisers but our approach is always to err on the side of caution</w:t>
      </w:r>
      <w:r w:rsidR="000F7D2C" w:rsidRPr="002A5741">
        <w:rPr>
          <w:rFonts w:ascii="Arial" w:hAnsi="Arial" w:cs="Arial"/>
        </w:rPr>
        <w:t xml:space="preserve">. </w:t>
      </w:r>
    </w:p>
    <w:p w:rsidR="003C594C" w:rsidRPr="002A5741" w:rsidRDefault="003C594C" w:rsidP="003C5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7D2C" w:rsidRPr="002A5741" w:rsidRDefault="002C05FB" w:rsidP="003C5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Our approach has been informed by </w:t>
      </w:r>
      <w:r w:rsidR="000F7D2C" w:rsidRPr="002A5741">
        <w:rPr>
          <w:rFonts w:ascii="Arial" w:hAnsi="Arial" w:cs="Arial"/>
        </w:rPr>
        <w:t xml:space="preserve">the </w:t>
      </w:r>
      <w:r w:rsidR="002A5741" w:rsidRPr="002A5741">
        <w:rPr>
          <w:rFonts w:ascii="Arial" w:hAnsi="Arial" w:cs="Arial"/>
        </w:rPr>
        <w:t>Institute</w:t>
      </w:r>
      <w:r w:rsidR="000F7D2C" w:rsidRPr="002A5741">
        <w:rPr>
          <w:rFonts w:ascii="Arial" w:hAnsi="Arial" w:cs="Arial"/>
        </w:rPr>
        <w:t xml:space="preserve"> of Fundraising document</w:t>
      </w:r>
      <w:r w:rsidR="00055149">
        <w:rPr>
          <w:rFonts w:ascii="Arial" w:hAnsi="Arial" w:cs="Arial"/>
        </w:rPr>
        <w:t>:</w:t>
      </w:r>
      <w:r w:rsidR="000F7D2C" w:rsidRPr="002A5741">
        <w:rPr>
          <w:rFonts w:ascii="Arial" w:hAnsi="Arial" w:cs="Arial"/>
        </w:rPr>
        <w:t xml:space="preserve"> </w:t>
      </w:r>
    </w:p>
    <w:p w:rsidR="000F7D2C" w:rsidRPr="002A5741" w:rsidRDefault="000F7D2C" w:rsidP="003C5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5741">
        <w:rPr>
          <w:rFonts w:ascii="Arial" w:hAnsi="Arial" w:cs="Arial"/>
        </w:rPr>
        <w:t xml:space="preserve">Treating Donors Fairly </w:t>
      </w:r>
      <w:r w:rsidR="002A5741">
        <w:rPr>
          <w:rFonts w:ascii="Arial" w:hAnsi="Arial" w:cs="Arial"/>
        </w:rPr>
        <w:t>- G</w:t>
      </w:r>
      <w:r w:rsidRPr="002A5741">
        <w:rPr>
          <w:rFonts w:ascii="Arial" w:hAnsi="Arial" w:cs="Arial"/>
        </w:rPr>
        <w:t>uidance for fundraisers responding to the needs of people in</w:t>
      </w:r>
    </w:p>
    <w:p w:rsidR="00D426C2" w:rsidRDefault="000F7D2C" w:rsidP="003C5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5741">
        <w:rPr>
          <w:rFonts w:ascii="Arial" w:hAnsi="Arial" w:cs="Arial"/>
        </w:rPr>
        <w:t>vulnerable circumstances and helping donors make informed decisions</w:t>
      </w:r>
      <w:r w:rsidR="00BA1C02">
        <w:rPr>
          <w:rFonts w:ascii="Arial" w:hAnsi="Arial" w:cs="Arial"/>
        </w:rPr>
        <w:t xml:space="preserve"> </w:t>
      </w:r>
    </w:p>
    <w:p w:rsidR="003C594C" w:rsidRPr="002A5741" w:rsidRDefault="004C5810" w:rsidP="003C5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0B126E" w:rsidRPr="000B126E">
          <w:rPr>
            <w:rStyle w:val="Hyperlink"/>
            <w:rFonts w:ascii="Arial" w:hAnsi="Arial" w:cs="Arial"/>
          </w:rPr>
          <w:t>http://www.institute-of-fundraising.org.uk/library/treatingdonorsfairly/</w:t>
        </w:r>
      </w:hyperlink>
    </w:p>
    <w:p w:rsidR="002C05FB" w:rsidRDefault="002C05FB" w:rsidP="003C594C">
      <w:pPr>
        <w:spacing w:after="0" w:line="240" w:lineRule="auto"/>
        <w:jc w:val="both"/>
        <w:rPr>
          <w:rFonts w:ascii="Arial" w:hAnsi="Arial" w:cs="Arial"/>
        </w:rPr>
      </w:pPr>
    </w:p>
    <w:p w:rsidR="00D426C2" w:rsidRDefault="00521D9C" w:rsidP="003C594C">
      <w:pPr>
        <w:spacing w:after="0" w:line="240" w:lineRule="auto"/>
        <w:jc w:val="both"/>
      </w:pPr>
      <w:r w:rsidRPr="002A5741">
        <w:rPr>
          <w:rFonts w:ascii="Arial" w:hAnsi="Arial" w:cs="Arial"/>
        </w:rPr>
        <w:t xml:space="preserve">In addition, the Direct Marketing Association </w:t>
      </w:r>
      <w:r w:rsidR="00CD39BF" w:rsidRPr="002A5741">
        <w:rPr>
          <w:rFonts w:ascii="Arial" w:hAnsi="Arial" w:cs="Arial"/>
        </w:rPr>
        <w:t>has</w:t>
      </w:r>
      <w:r w:rsidRPr="002A5741">
        <w:rPr>
          <w:rFonts w:ascii="Arial" w:hAnsi="Arial" w:cs="Arial"/>
        </w:rPr>
        <w:t xml:space="preserve"> produced a white paper </w:t>
      </w:r>
      <w:r w:rsidR="002A5741">
        <w:rPr>
          <w:rFonts w:ascii="Arial" w:hAnsi="Arial" w:cs="Arial"/>
        </w:rPr>
        <w:t xml:space="preserve">- </w:t>
      </w:r>
      <w:r w:rsidRPr="002A5741">
        <w:rPr>
          <w:rFonts w:ascii="Arial" w:hAnsi="Arial" w:cs="Arial"/>
        </w:rPr>
        <w:t>Guidelines for call centres dealing with vulnerable consumers.</w:t>
      </w:r>
      <w:r w:rsidR="00D426C2" w:rsidRPr="00D426C2">
        <w:t xml:space="preserve"> </w:t>
      </w:r>
    </w:p>
    <w:p w:rsidR="00D426C2" w:rsidRDefault="004C5810" w:rsidP="003C594C">
      <w:pPr>
        <w:spacing w:after="0" w:line="240" w:lineRule="auto"/>
        <w:jc w:val="both"/>
        <w:rPr>
          <w:rFonts w:ascii="Arial" w:hAnsi="Arial" w:cs="Arial"/>
        </w:rPr>
      </w:pPr>
      <w:hyperlink r:id="rId9" w:history="1">
        <w:r w:rsidR="00D426C2" w:rsidRPr="008E1757">
          <w:rPr>
            <w:rStyle w:val="Hyperlink"/>
            <w:rFonts w:ascii="Arial" w:hAnsi="Arial" w:cs="Arial"/>
          </w:rPr>
          <w:t>http://dma.org.uk/article/white-paper-guidelines-for-call-centres-dealing-with-vulnerable-consumers</w:t>
        </w:r>
      </w:hyperlink>
    </w:p>
    <w:p w:rsidR="002C05FB" w:rsidRDefault="002C05FB" w:rsidP="003C594C">
      <w:pPr>
        <w:spacing w:after="0" w:line="240" w:lineRule="auto"/>
        <w:jc w:val="both"/>
        <w:rPr>
          <w:rFonts w:ascii="Arial" w:hAnsi="Arial" w:cs="Arial"/>
          <w:b/>
        </w:rPr>
      </w:pPr>
    </w:p>
    <w:p w:rsidR="002A5741" w:rsidRDefault="004B04EF" w:rsidP="003C594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2A5741">
        <w:rPr>
          <w:rFonts w:ascii="Arial" w:hAnsi="Arial" w:cs="Arial"/>
          <w:b/>
        </w:rPr>
        <w:t xml:space="preserve">eturning donations </w:t>
      </w:r>
      <w:r w:rsidR="00C233D0">
        <w:rPr>
          <w:rFonts w:ascii="Arial" w:hAnsi="Arial" w:cs="Arial"/>
          <w:b/>
        </w:rPr>
        <w:t>made by vulnerable people</w:t>
      </w:r>
    </w:p>
    <w:p w:rsidR="00CD39BF" w:rsidRDefault="00CD39BF" w:rsidP="003C594C">
      <w:pPr>
        <w:pStyle w:val="BodyText"/>
        <w:rPr>
          <w:rFonts w:ascii="Arial" w:hAnsi="Arial" w:cs="Arial"/>
          <w:sz w:val="22"/>
          <w:szCs w:val="22"/>
        </w:rPr>
      </w:pPr>
    </w:p>
    <w:p w:rsidR="00AC55D5" w:rsidRPr="003B7F9F" w:rsidRDefault="002A5741" w:rsidP="00CC2DAF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3B7F9F">
        <w:rPr>
          <w:rFonts w:ascii="Arial" w:hAnsi="Arial" w:cs="Arial"/>
          <w:sz w:val="22"/>
          <w:szCs w:val="22"/>
        </w:rPr>
        <w:t>Despite our efforts to pro</w:t>
      </w:r>
      <w:r w:rsidR="00CD39BF" w:rsidRPr="003B7F9F">
        <w:rPr>
          <w:rFonts w:ascii="Arial" w:hAnsi="Arial" w:cs="Arial"/>
          <w:sz w:val="22"/>
          <w:szCs w:val="22"/>
        </w:rPr>
        <w:t>t</w:t>
      </w:r>
      <w:r w:rsidRPr="003B7F9F">
        <w:rPr>
          <w:rFonts w:ascii="Arial" w:hAnsi="Arial" w:cs="Arial"/>
          <w:sz w:val="22"/>
          <w:szCs w:val="22"/>
        </w:rPr>
        <w:t xml:space="preserve">ect those in vulnerable </w:t>
      </w:r>
      <w:r w:rsidR="00CD39BF" w:rsidRPr="003B7F9F">
        <w:rPr>
          <w:rFonts w:ascii="Arial" w:hAnsi="Arial" w:cs="Arial"/>
          <w:sz w:val="22"/>
          <w:szCs w:val="22"/>
        </w:rPr>
        <w:t>circumstances</w:t>
      </w:r>
      <w:r w:rsidRPr="003B7F9F">
        <w:rPr>
          <w:rFonts w:ascii="Arial" w:hAnsi="Arial" w:cs="Arial"/>
          <w:sz w:val="22"/>
          <w:szCs w:val="22"/>
        </w:rPr>
        <w:t>, Oxfam may receive a donation where there may be a question over the donor’s mental capacity to make that donation.</w:t>
      </w:r>
      <w:r w:rsidR="00CC2DAF" w:rsidRPr="003B7F9F">
        <w:rPr>
          <w:rFonts w:ascii="Arial" w:hAnsi="Arial" w:cs="Arial"/>
          <w:sz w:val="22"/>
          <w:szCs w:val="22"/>
        </w:rPr>
        <w:t xml:space="preserve"> In this circumstance, </w:t>
      </w:r>
      <w:r w:rsidR="00AC55D5" w:rsidRPr="003B7F9F">
        <w:rPr>
          <w:rFonts w:ascii="Arial" w:hAnsi="Arial" w:cs="Arial"/>
          <w:sz w:val="22"/>
          <w:szCs w:val="22"/>
        </w:rPr>
        <w:t xml:space="preserve">Oxfam GB </w:t>
      </w:r>
      <w:r w:rsidR="003B7F9F" w:rsidRPr="003B7F9F">
        <w:rPr>
          <w:rFonts w:ascii="Arial" w:hAnsi="Arial" w:cs="Arial"/>
          <w:sz w:val="22"/>
          <w:szCs w:val="22"/>
        </w:rPr>
        <w:t>may</w:t>
      </w:r>
      <w:r w:rsidR="00AC55D5" w:rsidRPr="003B7F9F">
        <w:rPr>
          <w:rFonts w:ascii="Arial" w:hAnsi="Arial" w:cs="Arial"/>
          <w:sz w:val="22"/>
          <w:szCs w:val="22"/>
        </w:rPr>
        <w:t xml:space="preserve"> return </w:t>
      </w:r>
      <w:r w:rsidR="003B7F9F" w:rsidRPr="003B7F9F">
        <w:rPr>
          <w:rFonts w:ascii="Arial" w:hAnsi="Arial" w:cs="Arial"/>
          <w:sz w:val="22"/>
          <w:szCs w:val="22"/>
        </w:rPr>
        <w:t xml:space="preserve">the </w:t>
      </w:r>
      <w:r w:rsidR="00AC55D5" w:rsidRPr="003B7F9F">
        <w:rPr>
          <w:rFonts w:ascii="Arial" w:hAnsi="Arial" w:cs="Arial"/>
          <w:sz w:val="22"/>
          <w:szCs w:val="22"/>
        </w:rPr>
        <w:t xml:space="preserve">donation to the donor or under certain circumstances to a family member or designated person.  Oxfam will need to be satisfied that at the time </w:t>
      </w:r>
      <w:r w:rsidR="003B7F9F" w:rsidRPr="003B7F9F">
        <w:rPr>
          <w:rFonts w:ascii="Arial" w:hAnsi="Arial" w:cs="Arial"/>
          <w:sz w:val="22"/>
          <w:szCs w:val="22"/>
        </w:rPr>
        <w:t xml:space="preserve">the donation was made </w:t>
      </w:r>
      <w:r w:rsidR="00AC55D5" w:rsidRPr="003B7F9F">
        <w:rPr>
          <w:rFonts w:ascii="Arial" w:hAnsi="Arial" w:cs="Arial"/>
          <w:sz w:val="22"/>
          <w:szCs w:val="22"/>
        </w:rPr>
        <w:t xml:space="preserve">the donor </w:t>
      </w:r>
      <w:r w:rsidR="003B7F9F" w:rsidRPr="003B7F9F">
        <w:rPr>
          <w:rFonts w:ascii="Arial" w:hAnsi="Arial" w:cs="Arial"/>
          <w:sz w:val="22"/>
          <w:szCs w:val="22"/>
        </w:rPr>
        <w:t xml:space="preserve">was unable to understand the consequences of making the donation.  </w:t>
      </w:r>
      <w:r w:rsidR="00AC55D5" w:rsidRPr="003B7F9F">
        <w:rPr>
          <w:rFonts w:ascii="Arial" w:hAnsi="Arial" w:cs="Arial"/>
          <w:sz w:val="22"/>
          <w:szCs w:val="22"/>
        </w:rPr>
        <w:t>An example would be where a donor is suffering from Alzheimer’s and makes a donat</w:t>
      </w:r>
      <w:r w:rsidR="003B7F9F" w:rsidRPr="003B7F9F">
        <w:rPr>
          <w:rFonts w:ascii="Arial" w:hAnsi="Arial" w:cs="Arial"/>
          <w:sz w:val="22"/>
          <w:szCs w:val="22"/>
        </w:rPr>
        <w:t>ion</w:t>
      </w:r>
      <w:r w:rsidR="00AC55D5" w:rsidRPr="003B7F9F">
        <w:rPr>
          <w:rFonts w:ascii="Arial" w:hAnsi="Arial" w:cs="Arial"/>
          <w:sz w:val="22"/>
          <w:szCs w:val="22"/>
        </w:rPr>
        <w:t xml:space="preserve"> to Oxfam </w:t>
      </w:r>
      <w:r w:rsidR="003B7F9F" w:rsidRPr="003B7F9F">
        <w:rPr>
          <w:rFonts w:ascii="Arial" w:hAnsi="Arial" w:cs="Arial"/>
          <w:sz w:val="22"/>
          <w:szCs w:val="22"/>
        </w:rPr>
        <w:t xml:space="preserve">without understanding the financial impact of their decision.  </w:t>
      </w:r>
      <w:r w:rsidR="00AC55D5" w:rsidRPr="003B7F9F">
        <w:rPr>
          <w:rFonts w:ascii="Arial" w:hAnsi="Arial" w:cs="Arial"/>
          <w:sz w:val="22"/>
          <w:szCs w:val="22"/>
        </w:rPr>
        <w:t xml:space="preserve">  </w:t>
      </w:r>
    </w:p>
    <w:p w:rsidR="00AC55D5" w:rsidRPr="003B7F9F" w:rsidRDefault="00AC55D5" w:rsidP="00CC2DAF">
      <w:pPr>
        <w:pStyle w:val="BodyText"/>
        <w:jc w:val="left"/>
        <w:rPr>
          <w:rFonts w:ascii="Arial" w:hAnsi="Arial" w:cs="Arial"/>
          <w:b/>
          <w:sz w:val="22"/>
          <w:szCs w:val="22"/>
        </w:rPr>
      </w:pPr>
    </w:p>
    <w:p w:rsidR="00AC55D5" w:rsidRPr="003B7F9F" w:rsidRDefault="00AC55D5" w:rsidP="003B7F9F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3B7F9F">
        <w:rPr>
          <w:rFonts w:ascii="Arial" w:hAnsi="Arial" w:cs="Arial"/>
        </w:rPr>
        <w:t xml:space="preserve">If you would like more information about this policy or to request the return of a donation please contact Oxfam GB via email </w:t>
      </w:r>
      <w:hyperlink r:id="rId10" w:history="1">
        <w:r w:rsidRPr="003B7F9F">
          <w:rPr>
            <w:rStyle w:val="Hyperlink"/>
            <w:rFonts w:ascii="Arial" w:hAnsi="Arial" w:cs="Arial"/>
          </w:rPr>
          <w:t>enquiries@oxfam.org.uk</w:t>
        </w:r>
      </w:hyperlink>
      <w:r w:rsidRPr="003B7F9F">
        <w:rPr>
          <w:rFonts w:ascii="Arial" w:hAnsi="Arial" w:cs="Arial"/>
        </w:rPr>
        <w:t xml:space="preserve">, or call </w:t>
      </w:r>
      <w:r w:rsidRPr="003B7F9F">
        <w:rPr>
          <w:rFonts w:ascii="Arial" w:hAnsi="Arial" w:cs="Arial"/>
          <w:shd w:val="clear" w:color="auto" w:fill="FFFFFF"/>
        </w:rPr>
        <w:t xml:space="preserve">0300 200 1300 or write to Supporter Relations Dept., Oxfam House, John Smith Drive, </w:t>
      </w:r>
      <w:proofErr w:type="spellStart"/>
      <w:r w:rsidRPr="003B7F9F">
        <w:rPr>
          <w:rFonts w:ascii="Arial" w:hAnsi="Arial" w:cs="Arial"/>
          <w:shd w:val="clear" w:color="auto" w:fill="FFFFFF"/>
        </w:rPr>
        <w:t>Cowley</w:t>
      </w:r>
      <w:proofErr w:type="spellEnd"/>
      <w:r w:rsidRPr="003B7F9F">
        <w:rPr>
          <w:rFonts w:ascii="Arial" w:hAnsi="Arial" w:cs="Arial"/>
          <w:shd w:val="clear" w:color="auto" w:fill="FFFFFF"/>
        </w:rPr>
        <w:t xml:space="preserve">, Oxford, OX4 2JY. </w:t>
      </w:r>
    </w:p>
    <w:p w:rsidR="003B7F9F" w:rsidRPr="003B7F9F" w:rsidRDefault="003B7F9F" w:rsidP="00CC2DAF">
      <w:pPr>
        <w:spacing w:after="0" w:line="240" w:lineRule="auto"/>
        <w:rPr>
          <w:rFonts w:ascii="Arial" w:hAnsi="Arial" w:cs="Arial"/>
        </w:rPr>
      </w:pPr>
    </w:p>
    <w:p w:rsidR="00AC55D5" w:rsidRDefault="00AC55D5" w:rsidP="00CC2DAF">
      <w:pPr>
        <w:spacing w:after="0" w:line="240" w:lineRule="auto"/>
        <w:rPr>
          <w:rFonts w:ascii="Arial" w:hAnsi="Arial" w:cs="Arial"/>
          <w:b/>
        </w:rPr>
      </w:pPr>
      <w:r w:rsidRPr="003B7F9F">
        <w:rPr>
          <w:rFonts w:ascii="Arial" w:hAnsi="Arial" w:cs="Arial"/>
        </w:rPr>
        <w:t>Oxfam will not return a donation where the donor simply made a bad decision and was not in a vulnerable circumstance.  Where it is felt a case for an exceptional “ex-gratia” payment might exist</w:t>
      </w:r>
      <w:r w:rsidR="00CC2DAF" w:rsidRPr="003B7F9F">
        <w:rPr>
          <w:rFonts w:ascii="Arial" w:hAnsi="Arial" w:cs="Arial"/>
        </w:rPr>
        <w:t>,</w:t>
      </w:r>
      <w:r w:rsidRPr="003B7F9F">
        <w:rPr>
          <w:rFonts w:ascii="Arial" w:hAnsi="Arial" w:cs="Arial"/>
        </w:rPr>
        <w:t xml:space="preserve"> again please contact Oxfam GB</w:t>
      </w:r>
      <w:r w:rsidR="00CC2DAF" w:rsidRPr="003B7F9F">
        <w:rPr>
          <w:rFonts w:ascii="Arial" w:hAnsi="Arial" w:cs="Arial"/>
        </w:rPr>
        <w:t xml:space="preserve"> using the details above</w:t>
      </w:r>
      <w:r w:rsidRPr="003B7F9F">
        <w:rPr>
          <w:rFonts w:ascii="Arial" w:hAnsi="Arial" w:cs="Arial"/>
        </w:rPr>
        <w:t>. Such payments may require the consent of the Charity Commission before they can be made</w:t>
      </w:r>
      <w:r w:rsidRPr="003B7F9F">
        <w:rPr>
          <w:rFonts w:ascii="Arial" w:hAnsi="Arial" w:cs="Arial"/>
          <w:b/>
        </w:rPr>
        <w:t>.</w:t>
      </w:r>
    </w:p>
    <w:p w:rsidR="00AC55D5" w:rsidRDefault="00AC55D5" w:rsidP="00CC2DAF">
      <w:pPr>
        <w:pStyle w:val="BodyText"/>
        <w:jc w:val="left"/>
        <w:rPr>
          <w:rFonts w:ascii="Arial" w:hAnsi="Arial" w:cs="Arial"/>
          <w:b/>
          <w:sz w:val="22"/>
          <w:szCs w:val="22"/>
        </w:rPr>
      </w:pPr>
    </w:p>
    <w:p w:rsidR="00AC55D5" w:rsidRDefault="00AC55D5" w:rsidP="003C594C">
      <w:pPr>
        <w:pStyle w:val="BodyText"/>
        <w:rPr>
          <w:rFonts w:ascii="Arial" w:hAnsi="Arial" w:cs="Arial"/>
          <w:b/>
          <w:sz w:val="22"/>
          <w:szCs w:val="22"/>
        </w:rPr>
      </w:pPr>
    </w:p>
    <w:p w:rsidR="00AC55D5" w:rsidRDefault="00AC55D5" w:rsidP="003C594C">
      <w:pPr>
        <w:pStyle w:val="BodyText"/>
        <w:rPr>
          <w:rFonts w:ascii="Arial" w:hAnsi="Arial" w:cs="Arial"/>
          <w:b/>
          <w:sz w:val="22"/>
          <w:szCs w:val="22"/>
        </w:rPr>
      </w:pPr>
    </w:p>
    <w:sectPr w:rsidR="00AC55D5" w:rsidSect="004E345C">
      <w:headerReference w:type="default" r:id="rId11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10" w:rsidRDefault="004C5810" w:rsidP="006C08DD">
      <w:pPr>
        <w:spacing w:after="0" w:line="240" w:lineRule="auto"/>
      </w:pPr>
      <w:r>
        <w:separator/>
      </w:r>
    </w:p>
  </w:endnote>
  <w:endnote w:type="continuationSeparator" w:id="0">
    <w:p w:rsidR="004C5810" w:rsidRDefault="004C5810" w:rsidP="006C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10" w:rsidRDefault="004C5810" w:rsidP="006C08DD">
      <w:pPr>
        <w:spacing w:after="0" w:line="240" w:lineRule="auto"/>
      </w:pPr>
      <w:r>
        <w:separator/>
      </w:r>
    </w:p>
  </w:footnote>
  <w:footnote w:type="continuationSeparator" w:id="0">
    <w:p w:rsidR="004C5810" w:rsidRDefault="004C5810" w:rsidP="006C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0D" w:rsidRDefault="00E80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1209"/>
    <w:multiLevelType w:val="hybridMultilevel"/>
    <w:tmpl w:val="49AE1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73853"/>
    <w:multiLevelType w:val="hybridMultilevel"/>
    <w:tmpl w:val="FE2ED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E7D74"/>
    <w:multiLevelType w:val="hybridMultilevel"/>
    <w:tmpl w:val="31A86CD6"/>
    <w:lvl w:ilvl="0" w:tplc="7CB6F35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B36F4"/>
    <w:multiLevelType w:val="hybridMultilevel"/>
    <w:tmpl w:val="DF62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30A3D"/>
    <w:multiLevelType w:val="hybridMultilevel"/>
    <w:tmpl w:val="079C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43EBB"/>
    <w:multiLevelType w:val="hybridMultilevel"/>
    <w:tmpl w:val="8E002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022FC"/>
    <w:multiLevelType w:val="hybridMultilevel"/>
    <w:tmpl w:val="9B429E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7F66A5"/>
    <w:multiLevelType w:val="hybridMultilevel"/>
    <w:tmpl w:val="4D8C7A4A"/>
    <w:lvl w:ilvl="0" w:tplc="D3A86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E23D67"/>
    <w:multiLevelType w:val="hybridMultilevel"/>
    <w:tmpl w:val="AB4C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244C1"/>
    <w:multiLevelType w:val="hybridMultilevel"/>
    <w:tmpl w:val="C6FC501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D34D71"/>
    <w:multiLevelType w:val="hybridMultilevel"/>
    <w:tmpl w:val="6C90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903ED"/>
    <w:multiLevelType w:val="hybridMultilevel"/>
    <w:tmpl w:val="D18EC5C4"/>
    <w:lvl w:ilvl="0" w:tplc="758AA140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F5D0E"/>
    <w:multiLevelType w:val="hybridMultilevel"/>
    <w:tmpl w:val="FB488586"/>
    <w:lvl w:ilvl="0" w:tplc="11FC55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23E"/>
    <w:rsid w:val="00053793"/>
    <w:rsid w:val="00055149"/>
    <w:rsid w:val="00063C9E"/>
    <w:rsid w:val="000A15DC"/>
    <w:rsid w:val="000B126E"/>
    <w:rsid w:val="000F7D2C"/>
    <w:rsid w:val="00122C50"/>
    <w:rsid w:val="001253D0"/>
    <w:rsid w:val="00140865"/>
    <w:rsid w:val="00154AC0"/>
    <w:rsid w:val="001673F5"/>
    <w:rsid w:val="001A6906"/>
    <w:rsid w:val="001E00AA"/>
    <w:rsid w:val="002337FD"/>
    <w:rsid w:val="002A5741"/>
    <w:rsid w:val="002B5A24"/>
    <w:rsid w:val="002C05FB"/>
    <w:rsid w:val="0032475E"/>
    <w:rsid w:val="00342156"/>
    <w:rsid w:val="00375EE7"/>
    <w:rsid w:val="003B7F9F"/>
    <w:rsid w:val="003C4D27"/>
    <w:rsid w:val="003C594C"/>
    <w:rsid w:val="004350E2"/>
    <w:rsid w:val="004368F9"/>
    <w:rsid w:val="004A2CF2"/>
    <w:rsid w:val="004B04EF"/>
    <w:rsid w:val="004C5810"/>
    <w:rsid w:val="004E2A8F"/>
    <w:rsid w:val="004E345C"/>
    <w:rsid w:val="004F49A1"/>
    <w:rsid w:val="00521D9C"/>
    <w:rsid w:val="00565901"/>
    <w:rsid w:val="00566C98"/>
    <w:rsid w:val="00571AD6"/>
    <w:rsid w:val="00574E7B"/>
    <w:rsid w:val="00582C32"/>
    <w:rsid w:val="00592DC0"/>
    <w:rsid w:val="005E0697"/>
    <w:rsid w:val="005F7016"/>
    <w:rsid w:val="00650EB7"/>
    <w:rsid w:val="00667DB3"/>
    <w:rsid w:val="006904DD"/>
    <w:rsid w:val="006C08DD"/>
    <w:rsid w:val="006E77BD"/>
    <w:rsid w:val="0070356B"/>
    <w:rsid w:val="00747945"/>
    <w:rsid w:val="007C41E9"/>
    <w:rsid w:val="00852030"/>
    <w:rsid w:val="00870B43"/>
    <w:rsid w:val="008B5A84"/>
    <w:rsid w:val="008C2406"/>
    <w:rsid w:val="008D0DED"/>
    <w:rsid w:val="00931FA7"/>
    <w:rsid w:val="00964471"/>
    <w:rsid w:val="00965C58"/>
    <w:rsid w:val="00996CFC"/>
    <w:rsid w:val="009D4676"/>
    <w:rsid w:val="009F36DF"/>
    <w:rsid w:val="00A16F30"/>
    <w:rsid w:val="00A22095"/>
    <w:rsid w:val="00A310A1"/>
    <w:rsid w:val="00A63BF4"/>
    <w:rsid w:val="00A9254F"/>
    <w:rsid w:val="00AA0CAB"/>
    <w:rsid w:val="00AC55D5"/>
    <w:rsid w:val="00B078AA"/>
    <w:rsid w:val="00B13DB3"/>
    <w:rsid w:val="00B2028C"/>
    <w:rsid w:val="00B219D9"/>
    <w:rsid w:val="00B42255"/>
    <w:rsid w:val="00B618E9"/>
    <w:rsid w:val="00B63324"/>
    <w:rsid w:val="00B67B62"/>
    <w:rsid w:val="00B77A6F"/>
    <w:rsid w:val="00BA1C02"/>
    <w:rsid w:val="00BB6E51"/>
    <w:rsid w:val="00C0400B"/>
    <w:rsid w:val="00C149A0"/>
    <w:rsid w:val="00C223E0"/>
    <w:rsid w:val="00C233D0"/>
    <w:rsid w:val="00C43B07"/>
    <w:rsid w:val="00C61432"/>
    <w:rsid w:val="00C67971"/>
    <w:rsid w:val="00CA1F05"/>
    <w:rsid w:val="00CA753B"/>
    <w:rsid w:val="00CC2DAF"/>
    <w:rsid w:val="00CD39BF"/>
    <w:rsid w:val="00CE1996"/>
    <w:rsid w:val="00D426C2"/>
    <w:rsid w:val="00D46C6C"/>
    <w:rsid w:val="00D4723E"/>
    <w:rsid w:val="00D92C04"/>
    <w:rsid w:val="00DB7312"/>
    <w:rsid w:val="00DC68AA"/>
    <w:rsid w:val="00DF4F09"/>
    <w:rsid w:val="00DF52D2"/>
    <w:rsid w:val="00DF7B11"/>
    <w:rsid w:val="00E04612"/>
    <w:rsid w:val="00E16701"/>
    <w:rsid w:val="00E80D0D"/>
    <w:rsid w:val="00EA3ADE"/>
    <w:rsid w:val="00EC23B6"/>
    <w:rsid w:val="00EE3B7F"/>
    <w:rsid w:val="00F156D8"/>
    <w:rsid w:val="00F46447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21B407-3356-4BD1-8809-FEE6E6E9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F36DF"/>
  </w:style>
  <w:style w:type="paragraph" w:styleId="Heading1">
    <w:name w:val="heading 1"/>
    <w:basedOn w:val="Normal"/>
    <w:next w:val="Normal"/>
    <w:link w:val="Heading1Char"/>
    <w:qFormat/>
    <w:rsid w:val="002A5741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bCs/>
      <w:color w:val="000000"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2A5741"/>
    <w:pPr>
      <w:keepNext/>
      <w:spacing w:after="0" w:line="240" w:lineRule="auto"/>
      <w:jc w:val="both"/>
      <w:outlineLvl w:val="1"/>
    </w:pPr>
    <w:rPr>
      <w:rFonts w:ascii="Verdana" w:eastAsia="Times New Roman" w:hAnsi="Verdana" w:cs="Times New Roman"/>
      <w:b/>
      <w:bCs/>
      <w:color w:val="000000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8DD"/>
  </w:style>
  <w:style w:type="paragraph" w:styleId="Footer">
    <w:name w:val="footer"/>
    <w:basedOn w:val="Normal"/>
    <w:link w:val="FooterChar"/>
    <w:uiPriority w:val="99"/>
    <w:semiHidden/>
    <w:unhideWhenUsed/>
    <w:rsid w:val="006C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8DD"/>
  </w:style>
  <w:style w:type="character" w:styleId="CommentReference">
    <w:name w:val="annotation reference"/>
    <w:basedOn w:val="DefaultParagraphFont"/>
    <w:uiPriority w:val="99"/>
    <w:semiHidden/>
    <w:unhideWhenUsed/>
    <w:rsid w:val="005E0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6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A5741"/>
    <w:rPr>
      <w:rFonts w:ascii="Verdana" w:eastAsia="Times New Roman" w:hAnsi="Verdana" w:cs="Times New Roman"/>
      <w:b/>
      <w:bCs/>
      <w:color w:val="000000"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2A5741"/>
    <w:rPr>
      <w:rFonts w:ascii="Verdana" w:eastAsia="Times New Roman" w:hAnsi="Verdana" w:cs="Times New Roman"/>
      <w:b/>
      <w:bCs/>
      <w:color w:val="000000"/>
      <w:sz w:val="20"/>
      <w:szCs w:val="18"/>
    </w:rPr>
  </w:style>
  <w:style w:type="paragraph" w:styleId="BodyText">
    <w:name w:val="Body Text"/>
    <w:basedOn w:val="Normal"/>
    <w:link w:val="BodyTextChar"/>
    <w:semiHidden/>
    <w:rsid w:val="002A574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2A5741"/>
    <w:rPr>
      <w:rFonts w:ascii="Verdana" w:eastAsia="Times New Roman" w:hAnsi="Verdana" w:cs="Times New Roman"/>
      <w:color w:val="000000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6904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26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223E0"/>
    <w:rPr>
      <w:i/>
      <w:iCs/>
    </w:rPr>
  </w:style>
  <w:style w:type="character" w:customStyle="1" w:styleId="apple-converted-space">
    <w:name w:val="apple-converted-space"/>
    <w:basedOn w:val="DefaultParagraphFont"/>
    <w:rsid w:val="00C2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e-of-fundraising.org.uk/library/treatingdonorsfairl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quiries@oxfam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ma.org.uk/article/white-paper-guidelines-for-call-centres-dealing-with-vulnerable-consum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10A24-E703-49F3-927F-1E0106D1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mparkinson</dc:creator>
  <cp:lastModifiedBy>Paul Mullins</cp:lastModifiedBy>
  <cp:revision>2</cp:revision>
  <cp:lastPrinted>2015-10-16T13:05:00Z</cp:lastPrinted>
  <dcterms:created xsi:type="dcterms:W3CDTF">2018-03-26T09:51:00Z</dcterms:created>
  <dcterms:modified xsi:type="dcterms:W3CDTF">2018-03-26T09:51:00Z</dcterms:modified>
</cp:coreProperties>
</file>