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9A" w:rsidRDefault="007D51DB" w:rsidP="002E4152">
      <w:pPr>
        <w:tabs>
          <w:tab w:val="left" w:pos="426"/>
        </w:tabs>
        <w:jc w:val="both"/>
        <w:rPr>
          <w:rFonts w:ascii="Arial" w:hAnsi="Arial" w:cs="Arial"/>
          <w:b/>
        </w:rPr>
      </w:pPr>
      <w:r w:rsidRPr="007D51DB">
        <w:rPr>
          <w:rFonts w:ascii="Calibri" w:eastAsia="Times New Roman" w:hAnsi="Calibri" w:cs="Times New Roman"/>
          <w:noProof/>
          <w:color w:val="000000"/>
          <w:sz w:val="20"/>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407.65pt;margin-top:-57.75pt;width:63.45pt;height:74.7pt;z-index:251660288;mso-height-percent:200;mso-height-percent:200;mso-width-relative:margin;mso-height-relative:margin" stroked="f">
            <v:textbox style="mso-fit-shape-to-text:t">
              <w:txbxContent>
                <w:p w:rsidR="002C6060" w:rsidRDefault="002C6060">
                  <w:r w:rsidRPr="003711D5">
                    <w:rPr>
                      <w:noProof/>
                      <w:lang w:eastAsia="en-GB"/>
                    </w:rPr>
                    <w:drawing>
                      <wp:inline distT="0" distB="0" distL="0" distR="0">
                        <wp:extent cx="628015" cy="6953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628015" cy="695325"/>
                                </a:xfrm>
                                <a:prstGeom prst="rect">
                                  <a:avLst/>
                                </a:prstGeom>
                                <a:noFill/>
                                <a:ln w="9525">
                                  <a:noFill/>
                                  <a:miter lim="800000"/>
                                  <a:headEnd/>
                                  <a:tailEnd/>
                                </a:ln>
                              </pic:spPr>
                            </pic:pic>
                          </a:graphicData>
                        </a:graphic>
                      </wp:inline>
                    </w:drawing>
                  </w:r>
                </w:p>
              </w:txbxContent>
            </v:textbox>
          </v:shape>
        </w:pict>
      </w:r>
    </w:p>
    <w:p w:rsidR="001600CB" w:rsidRDefault="00AC659A" w:rsidP="00252FFB">
      <w:pPr>
        <w:jc w:val="both"/>
        <w:rPr>
          <w:rFonts w:ascii="Arial" w:hAnsi="Arial" w:cs="Arial"/>
          <w:b/>
        </w:rPr>
      </w:pPr>
      <w:r>
        <w:rPr>
          <w:rFonts w:ascii="Arial" w:hAnsi="Arial" w:cs="Arial"/>
          <w:b/>
        </w:rPr>
        <w:t xml:space="preserve">OXFAM GB (OGB): </w:t>
      </w:r>
      <w:r w:rsidR="001600CB" w:rsidRPr="00252FFB">
        <w:rPr>
          <w:rFonts w:ascii="Arial" w:hAnsi="Arial" w:cs="Arial"/>
          <w:b/>
        </w:rPr>
        <w:t>ANNUAL LEARNING REVIEW</w:t>
      </w:r>
      <w:r w:rsidR="00252FFB">
        <w:rPr>
          <w:rFonts w:ascii="Arial" w:hAnsi="Arial" w:cs="Arial"/>
          <w:b/>
        </w:rPr>
        <w:t xml:space="preserve"> FROM COMPLAINTS AND FEEDBACK</w:t>
      </w:r>
      <w:r w:rsidR="001600CB" w:rsidRPr="00252FFB">
        <w:rPr>
          <w:rFonts w:ascii="Arial" w:hAnsi="Arial" w:cs="Arial"/>
          <w:b/>
        </w:rPr>
        <w:t xml:space="preserve"> (1 April 2016-31 March 2017)</w:t>
      </w:r>
    </w:p>
    <w:p w:rsidR="00AC659A" w:rsidRPr="00D3727A" w:rsidRDefault="00AC659A" w:rsidP="00D3727A">
      <w:pPr>
        <w:pStyle w:val="ListParagraph"/>
        <w:numPr>
          <w:ilvl w:val="0"/>
          <w:numId w:val="4"/>
        </w:numPr>
        <w:ind w:hanging="720"/>
        <w:jc w:val="both"/>
        <w:rPr>
          <w:rFonts w:ascii="Arial" w:hAnsi="Arial" w:cs="Arial"/>
          <w:b/>
        </w:rPr>
      </w:pPr>
      <w:r w:rsidRPr="00D3727A">
        <w:rPr>
          <w:rFonts w:ascii="Arial" w:hAnsi="Arial" w:cs="Arial"/>
          <w:b/>
        </w:rPr>
        <w:t>Introduction</w:t>
      </w:r>
    </w:p>
    <w:p w:rsidR="00226F04" w:rsidRDefault="00AC659A" w:rsidP="00AC659A">
      <w:pPr>
        <w:jc w:val="both"/>
        <w:rPr>
          <w:rFonts w:ascii="Arial" w:hAnsi="Arial" w:cs="Arial"/>
        </w:rPr>
      </w:pPr>
      <w:r>
        <w:rPr>
          <w:rFonts w:ascii="Arial" w:hAnsi="Arial" w:cs="Arial"/>
        </w:rPr>
        <w:t>This report is OGB’s 6</w:t>
      </w:r>
      <w:r w:rsidRPr="00AC659A">
        <w:rPr>
          <w:rFonts w:ascii="Arial" w:hAnsi="Arial" w:cs="Arial"/>
          <w:vertAlign w:val="superscript"/>
        </w:rPr>
        <w:t>th</w:t>
      </w:r>
      <w:r>
        <w:rPr>
          <w:rFonts w:ascii="Arial" w:hAnsi="Arial" w:cs="Arial"/>
        </w:rPr>
        <w:t xml:space="preserve"> Annual </w:t>
      </w:r>
      <w:r w:rsidR="003A282D">
        <w:rPr>
          <w:rFonts w:ascii="Arial" w:hAnsi="Arial" w:cs="Arial"/>
        </w:rPr>
        <w:t>Learning</w:t>
      </w:r>
      <w:r>
        <w:rPr>
          <w:rFonts w:ascii="Arial" w:hAnsi="Arial" w:cs="Arial"/>
        </w:rPr>
        <w:t xml:space="preserve"> Review</w:t>
      </w:r>
      <w:r w:rsidR="00226F04">
        <w:rPr>
          <w:rFonts w:ascii="Arial" w:hAnsi="Arial" w:cs="Arial"/>
        </w:rPr>
        <w:t xml:space="preserve"> and provides an overview of OGB complaints activity and any related actions and </w:t>
      </w:r>
      <w:proofErr w:type="spellStart"/>
      <w:r w:rsidR="00226F04">
        <w:rPr>
          <w:rFonts w:ascii="Arial" w:hAnsi="Arial" w:cs="Arial"/>
        </w:rPr>
        <w:t>learnings</w:t>
      </w:r>
      <w:proofErr w:type="spellEnd"/>
      <w:r w:rsidR="00226F04">
        <w:rPr>
          <w:rFonts w:ascii="Arial" w:hAnsi="Arial" w:cs="Arial"/>
        </w:rPr>
        <w:t xml:space="preserve"> during 2016-17.  It also reports back on progress on the actions for 2016-17 to which we committed last year.  </w:t>
      </w:r>
    </w:p>
    <w:p w:rsidR="00D3727A" w:rsidRDefault="00D32E24" w:rsidP="00AC659A">
      <w:pPr>
        <w:jc w:val="both"/>
        <w:rPr>
          <w:rFonts w:ascii="Arial" w:hAnsi="Arial" w:cs="Arial"/>
        </w:rPr>
      </w:pPr>
      <w:r>
        <w:rPr>
          <w:rFonts w:ascii="Arial" w:hAnsi="Arial" w:cs="Arial"/>
        </w:rPr>
        <w:t>The Review</w:t>
      </w:r>
      <w:r w:rsidR="00226F04">
        <w:rPr>
          <w:rFonts w:ascii="Arial" w:hAnsi="Arial" w:cs="Arial"/>
        </w:rPr>
        <w:t xml:space="preserve"> has </w:t>
      </w:r>
      <w:r>
        <w:rPr>
          <w:rFonts w:ascii="Arial" w:hAnsi="Arial" w:cs="Arial"/>
        </w:rPr>
        <w:t>six</w:t>
      </w:r>
      <w:r w:rsidR="00226F04">
        <w:rPr>
          <w:rFonts w:ascii="Arial" w:hAnsi="Arial" w:cs="Arial"/>
        </w:rPr>
        <w:t xml:space="preserve"> sections: </w:t>
      </w:r>
      <w:r>
        <w:rPr>
          <w:rFonts w:ascii="Arial" w:hAnsi="Arial" w:cs="Arial"/>
        </w:rPr>
        <w:t>this Introduction</w:t>
      </w:r>
      <w:r w:rsidR="00F1064E">
        <w:rPr>
          <w:rFonts w:ascii="Arial" w:hAnsi="Arial" w:cs="Arial"/>
        </w:rPr>
        <w:t>,</w:t>
      </w:r>
      <w:r>
        <w:rPr>
          <w:rFonts w:ascii="Arial" w:hAnsi="Arial" w:cs="Arial"/>
        </w:rPr>
        <w:t xml:space="preserve"> then </w:t>
      </w:r>
      <w:r w:rsidR="00226F04">
        <w:rPr>
          <w:rFonts w:ascii="Arial" w:hAnsi="Arial" w:cs="Arial"/>
        </w:rPr>
        <w:t>a Synopsis</w:t>
      </w:r>
      <w:r>
        <w:rPr>
          <w:rFonts w:ascii="Arial" w:hAnsi="Arial" w:cs="Arial"/>
        </w:rPr>
        <w:t>,</w:t>
      </w:r>
      <w:r w:rsidR="00226F04">
        <w:rPr>
          <w:rFonts w:ascii="Arial" w:hAnsi="Arial" w:cs="Arial"/>
        </w:rPr>
        <w:t xml:space="preserve"> followed by separate sections on each of the Complaints Group, </w:t>
      </w:r>
      <w:r w:rsidR="003A282D">
        <w:rPr>
          <w:rFonts w:ascii="Arial" w:hAnsi="Arial" w:cs="Arial"/>
        </w:rPr>
        <w:t>Programme</w:t>
      </w:r>
      <w:r w:rsidR="00226F04">
        <w:rPr>
          <w:rFonts w:ascii="Arial" w:hAnsi="Arial" w:cs="Arial"/>
        </w:rPr>
        <w:t>, Trading and Supporter Relations (including Campaigning</w:t>
      </w:r>
      <w:r w:rsidR="0013462E">
        <w:rPr>
          <w:rFonts w:ascii="Arial" w:hAnsi="Arial" w:cs="Arial"/>
        </w:rPr>
        <w:t xml:space="preserve"> and Policy</w:t>
      </w:r>
      <w:r>
        <w:rPr>
          <w:rFonts w:ascii="Arial" w:hAnsi="Arial" w:cs="Arial"/>
        </w:rPr>
        <w:t>).  The Review</w:t>
      </w:r>
      <w:r w:rsidR="00226F04">
        <w:rPr>
          <w:rFonts w:ascii="Arial" w:hAnsi="Arial" w:cs="Arial"/>
        </w:rPr>
        <w:t xml:space="preserve"> also has two appendices: (1) </w:t>
      </w:r>
      <w:r>
        <w:rPr>
          <w:rFonts w:ascii="Arial" w:hAnsi="Arial" w:cs="Arial"/>
        </w:rPr>
        <w:t xml:space="preserve">a </w:t>
      </w:r>
      <w:r w:rsidR="00226F04">
        <w:rPr>
          <w:rFonts w:ascii="Arial" w:hAnsi="Arial" w:cs="Arial"/>
        </w:rPr>
        <w:t xml:space="preserve">report against 2016-17 action </w:t>
      </w:r>
      <w:proofErr w:type="gramStart"/>
      <w:r w:rsidR="00226F04">
        <w:rPr>
          <w:rFonts w:ascii="Arial" w:hAnsi="Arial" w:cs="Arial"/>
        </w:rPr>
        <w:t>plan</w:t>
      </w:r>
      <w:proofErr w:type="gramEnd"/>
      <w:r w:rsidR="00226F04">
        <w:rPr>
          <w:rFonts w:ascii="Arial" w:hAnsi="Arial" w:cs="Arial"/>
        </w:rPr>
        <w:t xml:space="preserve"> and (2) </w:t>
      </w:r>
      <w:r>
        <w:rPr>
          <w:rFonts w:ascii="Arial" w:hAnsi="Arial" w:cs="Arial"/>
        </w:rPr>
        <w:t xml:space="preserve">a </w:t>
      </w:r>
      <w:r w:rsidR="00226F04">
        <w:rPr>
          <w:rFonts w:ascii="Arial" w:hAnsi="Arial" w:cs="Arial"/>
        </w:rPr>
        <w:t xml:space="preserve">2017-18 action plan.  </w:t>
      </w:r>
    </w:p>
    <w:p w:rsidR="00B03D6A" w:rsidRDefault="00B03D6A" w:rsidP="00AC659A">
      <w:pPr>
        <w:jc w:val="both"/>
        <w:rPr>
          <w:rFonts w:ascii="Arial" w:hAnsi="Arial" w:cs="Arial"/>
        </w:rPr>
      </w:pPr>
      <w:r>
        <w:rPr>
          <w:rFonts w:ascii="Arial" w:hAnsi="Arial" w:cs="Arial"/>
        </w:rPr>
        <w:t xml:space="preserve">Ensuring that our stakeholders can hold us to account will improve the quality of our work.  OGB strives to be excellent in all it does but </w:t>
      </w:r>
      <w:r w:rsidR="00C23512">
        <w:rPr>
          <w:rFonts w:ascii="Arial" w:hAnsi="Arial" w:cs="Arial"/>
        </w:rPr>
        <w:t>recognises</w:t>
      </w:r>
      <w:r>
        <w:rPr>
          <w:rFonts w:ascii="Arial" w:hAnsi="Arial" w:cs="Arial"/>
        </w:rPr>
        <w:t xml:space="preserve"> that this cannot always be the case.  When we make a mistake, we want and need to be informed.  We will use </w:t>
      </w:r>
      <w:r w:rsidR="00C23512">
        <w:rPr>
          <w:rFonts w:ascii="Arial" w:hAnsi="Arial" w:cs="Arial"/>
        </w:rPr>
        <w:t>that information</w:t>
      </w:r>
      <w:r>
        <w:rPr>
          <w:rFonts w:ascii="Arial" w:hAnsi="Arial" w:cs="Arial"/>
        </w:rPr>
        <w:t xml:space="preserve"> to endeavour to put things </w:t>
      </w:r>
      <w:r w:rsidR="00C23512">
        <w:rPr>
          <w:rFonts w:ascii="Arial" w:hAnsi="Arial" w:cs="Arial"/>
        </w:rPr>
        <w:t>right</w:t>
      </w:r>
      <w:r>
        <w:rPr>
          <w:rFonts w:ascii="Arial" w:hAnsi="Arial" w:cs="Arial"/>
        </w:rPr>
        <w:t xml:space="preserve"> and to help us become more effective. </w:t>
      </w:r>
    </w:p>
    <w:p w:rsidR="00F1064E" w:rsidRDefault="00F1064E" w:rsidP="00AC659A">
      <w:pPr>
        <w:jc w:val="both"/>
        <w:rPr>
          <w:rFonts w:ascii="Arial" w:hAnsi="Arial" w:cs="Arial"/>
        </w:rPr>
      </w:pPr>
      <w:r>
        <w:rPr>
          <w:rFonts w:ascii="Arial" w:hAnsi="Arial" w:cs="Arial"/>
        </w:rPr>
        <w:t>In Oxfam’s Operational Plan 2017-18, OGB committed to continuing to report to the INGO Accountability Charter</w:t>
      </w:r>
      <w:r>
        <w:rPr>
          <w:rStyle w:val="FootnoteReference"/>
          <w:rFonts w:ascii="Arial" w:hAnsi="Arial" w:cs="Arial"/>
        </w:rPr>
        <w:footnoteReference w:id="1"/>
      </w:r>
      <w:r w:rsidR="00F33DF4">
        <w:rPr>
          <w:rFonts w:ascii="Arial" w:hAnsi="Arial" w:cs="Arial"/>
        </w:rPr>
        <w:t xml:space="preserve"> and to actively contributing</w:t>
      </w:r>
      <w:r>
        <w:rPr>
          <w:rFonts w:ascii="Arial" w:hAnsi="Arial" w:cs="Arial"/>
        </w:rPr>
        <w:t xml:space="preserve"> to the Oxfam International (</w:t>
      </w:r>
      <w:r w:rsidRPr="00F1064E">
        <w:rPr>
          <w:rFonts w:ascii="Arial" w:hAnsi="Arial" w:cs="Arial"/>
          <w:b/>
        </w:rPr>
        <w:t>OI</w:t>
      </w:r>
      <w:r>
        <w:rPr>
          <w:rFonts w:ascii="Arial" w:hAnsi="Arial" w:cs="Arial"/>
        </w:rPr>
        <w:t xml:space="preserve">) </w:t>
      </w:r>
      <w:r w:rsidR="00324B54">
        <w:rPr>
          <w:rFonts w:ascii="Arial" w:hAnsi="Arial" w:cs="Arial"/>
        </w:rPr>
        <w:t>Accountability</w:t>
      </w:r>
      <w:r>
        <w:rPr>
          <w:rFonts w:ascii="Arial" w:hAnsi="Arial" w:cs="Arial"/>
        </w:rPr>
        <w:t xml:space="preserve"> Global Platform with a particular focus on improving complaints reporting.  </w:t>
      </w:r>
    </w:p>
    <w:p w:rsidR="003A282D" w:rsidRPr="00CC7EFC" w:rsidRDefault="00D3727A" w:rsidP="003A282D">
      <w:pPr>
        <w:pStyle w:val="ListParagraph"/>
        <w:numPr>
          <w:ilvl w:val="0"/>
          <w:numId w:val="4"/>
        </w:numPr>
        <w:ind w:hanging="720"/>
        <w:jc w:val="both"/>
        <w:rPr>
          <w:rFonts w:ascii="Arial" w:hAnsi="Arial" w:cs="Arial"/>
          <w:b/>
        </w:rPr>
      </w:pPr>
      <w:r w:rsidRPr="00CC7EFC">
        <w:rPr>
          <w:rFonts w:ascii="Arial" w:hAnsi="Arial" w:cs="Arial"/>
          <w:b/>
        </w:rPr>
        <w:t>Synopsis</w:t>
      </w:r>
    </w:p>
    <w:p w:rsidR="00AA20EE" w:rsidRPr="00CC7EFC" w:rsidRDefault="00AA20EE" w:rsidP="00D115B4">
      <w:pPr>
        <w:pStyle w:val="ListParagraph"/>
        <w:numPr>
          <w:ilvl w:val="0"/>
          <w:numId w:val="6"/>
        </w:numPr>
        <w:ind w:hanging="720"/>
        <w:jc w:val="both"/>
        <w:rPr>
          <w:rFonts w:ascii="Arial" w:hAnsi="Arial" w:cs="Arial"/>
        </w:rPr>
      </w:pPr>
      <w:r w:rsidRPr="00CC7EFC">
        <w:rPr>
          <w:rFonts w:ascii="Arial" w:hAnsi="Arial" w:cs="Arial"/>
          <w:b/>
          <w:i/>
        </w:rPr>
        <w:t>Complaints Group:</w:t>
      </w:r>
      <w:r w:rsidRPr="00CC7EFC">
        <w:rPr>
          <w:rFonts w:ascii="Arial" w:hAnsi="Arial" w:cs="Arial"/>
          <w:b/>
        </w:rPr>
        <w:t xml:space="preserve"> </w:t>
      </w:r>
      <w:r w:rsidRPr="00CC7EFC">
        <w:rPr>
          <w:rFonts w:ascii="Arial" w:hAnsi="Arial" w:cs="Arial"/>
        </w:rPr>
        <w:t xml:space="preserve">the Group met twice during the year </w:t>
      </w:r>
      <w:r w:rsidR="00D115B4" w:rsidRPr="00CC7EFC">
        <w:rPr>
          <w:rFonts w:ascii="Arial" w:hAnsi="Arial" w:cs="Arial"/>
        </w:rPr>
        <w:t xml:space="preserve">to review complaints communications and activity and to share learning.  Good progress was made on objectives during 2016-17, with a number of completed actions.  </w:t>
      </w:r>
      <w:r w:rsidR="00C23512" w:rsidRPr="00CC7EFC">
        <w:rPr>
          <w:rFonts w:ascii="Arial" w:hAnsi="Arial" w:cs="Arial"/>
        </w:rPr>
        <w:t xml:space="preserve">However, </w:t>
      </w:r>
      <w:r w:rsidR="00526FFE" w:rsidRPr="00CC7EFC">
        <w:rPr>
          <w:rFonts w:ascii="Arial" w:hAnsi="Arial" w:cs="Arial"/>
        </w:rPr>
        <w:t xml:space="preserve">responsibility for collating </w:t>
      </w:r>
      <w:r w:rsidR="00F21DA2" w:rsidRPr="00CC7EFC">
        <w:rPr>
          <w:rFonts w:ascii="Arial" w:hAnsi="Arial" w:cs="Arial"/>
        </w:rPr>
        <w:t xml:space="preserve">Programme-related </w:t>
      </w:r>
      <w:r w:rsidR="00C23512" w:rsidRPr="00CC7EFC">
        <w:rPr>
          <w:rFonts w:ascii="Arial" w:hAnsi="Arial" w:cs="Arial"/>
        </w:rPr>
        <w:t xml:space="preserve">complaints </w:t>
      </w:r>
      <w:r w:rsidR="00526FFE" w:rsidRPr="00CC7EFC">
        <w:rPr>
          <w:rFonts w:ascii="Arial" w:hAnsi="Arial" w:cs="Arial"/>
        </w:rPr>
        <w:t>has shifted from</w:t>
      </w:r>
      <w:r w:rsidR="00C23512" w:rsidRPr="00CC7EFC">
        <w:rPr>
          <w:rFonts w:ascii="Arial" w:hAnsi="Arial" w:cs="Arial"/>
        </w:rPr>
        <w:t xml:space="preserve"> the </w:t>
      </w:r>
      <w:r w:rsidR="00526FFE" w:rsidRPr="00CC7EFC">
        <w:rPr>
          <w:rFonts w:ascii="Arial" w:hAnsi="Arial" w:cs="Arial"/>
        </w:rPr>
        <w:t xml:space="preserve">OGB </w:t>
      </w:r>
      <w:r w:rsidR="00C23512" w:rsidRPr="00CC7EFC">
        <w:rPr>
          <w:rFonts w:ascii="Arial" w:hAnsi="Arial" w:cs="Arial"/>
        </w:rPr>
        <w:t xml:space="preserve">Programme team – </w:t>
      </w:r>
      <w:proofErr w:type="spellStart"/>
      <w:r w:rsidR="00C23512" w:rsidRPr="00CC7EFC">
        <w:rPr>
          <w:rFonts w:ascii="Arial" w:hAnsi="Arial" w:cs="Arial"/>
        </w:rPr>
        <w:t>a</w:t>
      </w:r>
      <w:r w:rsidR="00526FFE" w:rsidRPr="00CC7EFC">
        <w:rPr>
          <w:rFonts w:ascii="Arial" w:hAnsi="Arial" w:cs="Arial"/>
        </w:rPr>
        <w:t>and</w:t>
      </w:r>
      <w:proofErr w:type="spellEnd"/>
      <w:r w:rsidR="00C23512" w:rsidRPr="00CC7EFC">
        <w:rPr>
          <w:rFonts w:ascii="Arial" w:hAnsi="Arial" w:cs="Arial"/>
        </w:rPr>
        <w:t xml:space="preserve"> </w:t>
      </w:r>
      <w:r w:rsidR="00F33DF4" w:rsidRPr="00CC7EFC">
        <w:rPr>
          <w:rFonts w:ascii="Arial" w:hAnsi="Arial" w:cs="Arial"/>
        </w:rPr>
        <w:t xml:space="preserve">will now be included </w:t>
      </w:r>
      <w:r w:rsidR="00C23512" w:rsidRPr="00CC7EFC">
        <w:rPr>
          <w:rFonts w:ascii="Arial" w:hAnsi="Arial" w:cs="Arial"/>
        </w:rPr>
        <w:t xml:space="preserve">in the </w:t>
      </w:r>
      <w:r w:rsidR="00F1064E" w:rsidRPr="00CC7EFC">
        <w:rPr>
          <w:rFonts w:ascii="Arial" w:hAnsi="Arial" w:cs="Arial"/>
        </w:rPr>
        <w:t>OI</w:t>
      </w:r>
      <w:r w:rsidR="00C23512" w:rsidRPr="00CC7EFC">
        <w:rPr>
          <w:rFonts w:ascii="Arial" w:hAnsi="Arial" w:cs="Arial"/>
        </w:rPr>
        <w:t xml:space="preserve"> annual reporting (Oxfam-wide Operational Report – </w:t>
      </w:r>
      <w:r w:rsidR="00C23512" w:rsidRPr="00CC7EFC">
        <w:rPr>
          <w:rFonts w:ascii="Arial" w:hAnsi="Arial" w:cs="Arial"/>
          <w:b/>
        </w:rPr>
        <w:t>OOR</w:t>
      </w:r>
      <w:r w:rsidR="00C23512" w:rsidRPr="00CC7EFC">
        <w:rPr>
          <w:rFonts w:ascii="Arial" w:hAnsi="Arial" w:cs="Arial"/>
        </w:rPr>
        <w:t>)</w:t>
      </w:r>
      <w:r w:rsidR="00F33DF4" w:rsidRPr="00CC7EFC">
        <w:rPr>
          <w:rFonts w:ascii="Arial" w:hAnsi="Arial" w:cs="Arial"/>
        </w:rPr>
        <w:t xml:space="preserve"> which will be available later in 2017</w:t>
      </w:r>
      <w:r w:rsidR="00C23512" w:rsidRPr="00CC7EFC">
        <w:rPr>
          <w:rFonts w:ascii="Arial" w:hAnsi="Arial" w:cs="Arial"/>
        </w:rPr>
        <w:t>.</w:t>
      </w:r>
      <w:r w:rsidR="00F33DF4" w:rsidRPr="00CC7EFC">
        <w:rPr>
          <w:rFonts w:ascii="Arial" w:hAnsi="Arial" w:cs="Arial"/>
        </w:rPr>
        <w:t xml:space="preserve">  </w:t>
      </w:r>
    </w:p>
    <w:p w:rsidR="00D115B4" w:rsidRPr="00CC7EFC" w:rsidRDefault="00D115B4" w:rsidP="00AF645A">
      <w:pPr>
        <w:pStyle w:val="ListParagraph"/>
        <w:numPr>
          <w:ilvl w:val="0"/>
          <w:numId w:val="6"/>
        </w:numPr>
        <w:ind w:left="709" w:hanging="709"/>
        <w:jc w:val="both"/>
        <w:rPr>
          <w:rFonts w:ascii="Arial" w:hAnsi="Arial" w:cs="Arial"/>
          <w:b/>
          <w:i/>
        </w:rPr>
      </w:pPr>
      <w:r w:rsidRPr="00CC7EFC">
        <w:rPr>
          <w:rFonts w:ascii="Arial" w:hAnsi="Arial" w:cs="Arial"/>
          <w:b/>
          <w:i/>
        </w:rPr>
        <w:t>Programme:</w:t>
      </w:r>
      <w:r w:rsidRPr="00CC7EFC">
        <w:rPr>
          <w:rFonts w:ascii="Arial" w:hAnsi="Arial" w:cs="Arial"/>
        </w:rPr>
        <w:t xml:space="preserve"> </w:t>
      </w:r>
    </w:p>
    <w:p w:rsidR="0055250C" w:rsidRPr="00AF645A" w:rsidRDefault="00D5561F" w:rsidP="00AF645A">
      <w:pPr>
        <w:pStyle w:val="ListParagraph"/>
        <w:numPr>
          <w:ilvl w:val="0"/>
          <w:numId w:val="6"/>
        </w:numPr>
        <w:ind w:left="709" w:hanging="709"/>
        <w:jc w:val="both"/>
        <w:rPr>
          <w:rFonts w:ascii="Arial" w:hAnsi="Arial" w:cs="Arial"/>
        </w:rPr>
      </w:pPr>
      <w:r w:rsidRPr="00CC7EFC">
        <w:rPr>
          <w:rFonts w:ascii="Arial" w:hAnsi="Arial" w:cs="Arial"/>
          <w:b/>
          <w:i/>
        </w:rPr>
        <w:t>Trading:</w:t>
      </w:r>
      <w:r w:rsidR="0055250C" w:rsidRPr="00CC7EFC">
        <w:rPr>
          <w:rFonts w:ascii="Arial" w:hAnsi="Arial" w:cs="Arial"/>
        </w:rPr>
        <w:t xml:space="preserve"> for the first time in a number of years, </w:t>
      </w:r>
      <w:r w:rsidR="00F1064E" w:rsidRPr="00CC7EFC">
        <w:rPr>
          <w:rFonts w:ascii="Arial" w:hAnsi="Arial" w:cs="Arial"/>
        </w:rPr>
        <w:t xml:space="preserve">there was an increase in </w:t>
      </w:r>
      <w:r w:rsidR="00AF645A" w:rsidRPr="00CC7EFC">
        <w:rPr>
          <w:rFonts w:ascii="Arial" w:hAnsi="Arial" w:cs="Arial"/>
        </w:rPr>
        <w:t xml:space="preserve">centrally-logged </w:t>
      </w:r>
      <w:r w:rsidR="0055250C" w:rsidRPr="00CC7EFC">
        <w:rPr>
          <w:rFonts w:ascii="Arial" w:hAnsi="Arial" w:cs="Arial"/>
        </w:rPr>
        <w:t>complaints</w:t>
      </w:r>
      <w:r w:rsidR="00AF645A" w:rsidRPr="00CC7EFC">
        <w:rPr>
          <w:rFonts w:ascii="Arial" w:hAnsi="Arial" w:cs="Arial"/>
        </w:rPr>
        <w:t>–</w:t>
      </w:r>
      <w:r w:rsidR="0055250C" w:rsidRPr="00CC7EFC">
        <w:rPr>
          <w:rFonts w:ascii="Arial" w:hAnsi="Arial" w:cs="Arial"/>
        </w:rPr>
        <w:t xml:space="preserve"> although</w:t>
      </w:r>
      <w:r w:rsidR="00AF645A" w:rsidRPr="00CC7EFC">
        <w:rPr>
          <w:rFonts w:ascii="Arial" w:hAnsi="Arial" w:cs="Arial"/>
        </w:rPr>
        <w:t xml:space="preserve"> the increase was small and there were no centrally-logged complaints in relation to over 400 of our 640 shops.   Most complaints </w:t>
      </w:r>
      <w:r w:rsidR="00F33DF4" w:rsidRPr="00CC7EFC">
        <w:rPr>
          <w:rFonts w:ascii="Arial" w:hAnsi="Arial" w:cs="Arial"/>
        </w:rPr>
        <w:t>related to claims of</w:t>
      </w:r>
      <w:r w:rsidR="00AF645A" w:rsidRPr="00CC7EFC">
        <w:rPr>
          <w:rFonts w:ascii="Arial" w:hAnsi="Arial" w:cs="Arial"/>
        </w:rPr>
        <w:t xml:space="preserve"> poor customer service, an area to be covered in shop </w:t>
      </w:r>
      <w:r w:rsidR="00AD7F6F">
        <w:rPr>
          <w:rFonts w:ascii="Arial" w:hAnsi="Arial" w:cs="Arial"/>
        </w:rPr>
        <w:t>team</w:t>
      </w:r>
      <w:r w:rsidR="00AF645A" w:rsidRPr="00CC7EFC">
        <w:rPr>
          <w:rFonts w:ascii="Arial" w:hAnsi="Arial" w:cs="Arial"/>
        </w:rPr>
        <w:t xml:space="preserve"> training in 2017-18.</w:t>
      </w:r>
    </w:p>
    <w:p w:rsidR="00AF645A" w:rsidRDefault="00D5561F" w:rsidP="00A55A74">
      <w:pPr>
        <w:pStyle w:val="ListParagraph"/>
        <w:numPr>
          <w:ilvl w:val="0"/>
          <w:numId w:val="6"/>
        </w:numPr>
        <w:ind w:hanging="720"/>
        <w:jc w:val="both"/>
        <w:rPr>
          <w:rFonts w:ascii="Arial" w:hAnsi="Arial" w:cs="Arial"/>
          <w:color w:val="000000"/>
        </w:rPr>
      </w:pPr>
      <w:r w:rsidRPr="00AF645A">
        <w:rPr>
          <w:rFonts w:ascii="Arial" w:hAnsi="Arial" w:cs="Arial"/>
          <w:b/>
          <w:i/>
        </w:rPr>
        <w:t>Supporter Relations</w:t>
      </w:r>
      <w:r w:rsidR="00AF645A" w:rsidRPr="00AF645A">
        <w:rPr>
          <w:rFonts w:ascii="Arial" w:hAnsi="Arial" w:cs="Arial"/>
          <w:b/>
          <w:i/>
        </w:rPr>
        <w:t xml:space="preserve"> (including campaigning and policy): </w:t>
      </w:r>
      <w:r w:rsidR="00AF645A" w:rsidRPr="00AF645A">
        <w:rPr>
          <w:rFonts w:ascii="Arial" w:hAnsi="Arial" w:cs="Arial"/>
        </w:rPr>
        <w:t>t</w:t>
      </w:r>
      <w:r w:rsidR="00AF645A" w:rsidRPr="00AF645A">
        <w:rPr>
          <w:rFonts w:ascii="Arial" w:hAnsi="Arial" w:cs="Arial"/>
          <w:color w:val="000000"/>
        </w:rPr>
        <w:t xml:space="preserve">he overall </w:t>
      </w:r>
      <w:r w:rsidR="00F33DF4">
        <w:rPr>
          <w:rFonts w:ascii="Arial" w:hAnsi="Arial" w:cs="Arial"/>
          <w:color w:val="000000"/>
        </w:rPr>
        <w:t>number</w:t>
      </w:r>
      <w:r w:rsidR="00AF645A" w:rsidRPr="00AF645A">
        <w:rPr>
          <w:rFonts w:ascii="Arial" w:hAnsi="Arial" w:cs="Arial"/>
          <w:color w:val="000000"/>
        </w:rPr>
        <w:t xml:space="preserve"> of recorded complaints has decreased significantly </w:t>
      </w:r>
      <w:r w:rsidR="00F33DF4">
        <w:rPr>
          <w:rFonts w:ascii="Arial" w:hAnsi="Arial" w:cs="Arial"/>
          <w:color w:val="000000"/>
        </w:rPr>
        <w:t xml:space="preserve">from 2015-16 </w:t>
      </w:r>
      <w:r w:rsidR="00AF645A" w:rsidRPr="00AF645A">
        <w:rPr>
          <w:rFonts w:ascii="Arial" w:hAnsi="Arial" w:cs="Arial"/>
          <w:color w:val="000000"/>
        </w:rPr>
        <w:t>– down from 2751 to 1534. This continues a downward trend in overall complaints year on year since 2013</w:t>
      </w:r>
      <w:r w:rsidR="00F33DF4">
        <w:rPr>
          <w:rFonts w:ascii="Arial" w:hAnsi="Arial" w:cs="Arial"/>
          <w:color w:val="000000"/>
        </w:rPr>
        <w:t xml:space="preserve">.  It’s </w:t>
      </w:r>
      <w:r w:rsidR="00AF645A">
        <w:rPr>
          <w:rFonts w:ascii="Arial" w:hAnsi="Arial" w:cs="Arial"/>
          <w:color w:val="000000"/>
        </w:rPr>
        <w:t>particularly encouraging given the significant media focus in 2016-17 on fundraising practice</w:t>
      </w:r>
      <w:r w:rsidR="00462AD8">
        <w:rPr>
          <w:rFonts w:ascii="Arial" w:hAnsi="Arial" w:cs="Arial"/>
          <w:color w:val="000000"/>
        </w:rPr>
        <w:t>s</w:t>
      </w:r>
      <w:r w:rsidR="00AF645A">
        <w:rPr>
          <w:rFonts w:ascii="Arial" w:hAnsi="Arial" w:cs="Arial"/>
          <w:color w:val="000000"/>
        </w:rPr>
        <w:t>.</w:t>
      </w:r>
    </w:p>
    <w:p w:rsidR="00F1064E" w:rsidRDefault="00F1064E" w:rsidP="00F1064E">
      <w:pPr>
        <w:pStyle w:val="ListParagraph"/>
        <w:jc w:val="both"/>
        <w:rPr>
          <w:rFonts w:ascii="Arial" w:hAnsi="Arial" w:cs="Arial"/>
          <w:color w:val="000000"/>
        </w:rPr>
      </w:pPr>
    </w:p>
    <w:p w:rsidR="003A282D" w:rsidRPr="00F1064E" w:rsidRDefault="003A282D" w:rsidP="003A282D">
      <w:pPr>
        <w:pStyle w:val="ListParagraph"/>
        <w:numPr>
          <w:ilvl w:val="0"/>
          <w:numId w:val="4"/>
        </w:numPr>
        <w:ind w:hanging="720"/>
        <w:jc w:val="both"/>
        <w:rPr>
          <w:rFonts w:ascii="Arial" w:hAnsi="Arial" w:cs="Arial"/>
          <w:b/>
        </w:rPr>
      </w:pPr>
      <w:r w:rsidRPr="00F1064E">
        <w:rPr>
          <w:rFonts w:ascii="Arial" w:hAnsi="Arial" w:cs="Arial"/>
          <w:b/>
        </w:rPr>
        <w:t>Complaints Group</w:t>
      </w:r>
    </w:p>
    <w:p w:rsidR="005665C5" w:rsidRPr="00A55A74" w:rsidRDefault="00B03D6A" w:rsidP="00B03D6A">
      <w:pPr>
        <w:jc w:val="both"/>
        <w:rPr>
          <w:rFonts w:ascii="Arial" w:hAnsi="Arial" w:cs="Arial"/>
          <w:color w:val="000000"/>
        </w:rPr>
      </w:pPr>
      <w:r w:rsidRPr="00A55A74">
        <w:rPr>
          <w:rFonts w:ascii="Arial" w:hAnsi="Arial" w:cs="Arial"/>
        </w:rPr>
        <w:t xml:space="preserve">The Complaints Group is convened by the Director of Finance (as owner of </w:t>
      </w:r>
      <w:r w:rsidRPr="00A55A74">
        <w:rPr>
          <w:rFonts w:ascii="Arial" w:hAnsi="Arial" w:cs="Arial"/>
          <w:color w:val="000000"/>
        </w:rPr>
        <w:t xml:space="preserve">OGB’s Complaints Policy) and meets at least twice each year.  Its membership includes the </w:t>
      </w:r>
      <w:r w:rsidRPr="00A55A74">
        <w:rPr>
          <w:rFonts w:ascii="Arial" w:hAnsi="Arial" w:cs="Arial"/>
          <w:color w:val="000000"/>
        </w:rPr>
        <w:lastRenderedPageBreak/>
        <w:t xml:space="preserve">managers responsible for shop support and supporter relations, along with the Company Secretary </w:t>
      </w:r>
      <w:r w:rsidR="0055250C" w:rsidRPr="00A55A74">
        <w:rPr>
          <w:rFonts w:ascii="Arial" w:hAnsi="Arial" w:cs="Arial"/>
          <w:color w:val="000000"/>
        </w:rPr>
        <w:t>&amp;</w:t>
      </w:r>
      <w:r w:rsidRPr="00A55A74">
        <w:rPr>
          <w:rFonts w:ascii="Arial" w:hAnsi="Arial" w:cs="Arial"/>
          <w:color w:val="000000"/>
        </w:rPr>
        <w:t xml:space="preserve"> General Counsel</w:t>
      </w:r>
      <w:r w:rsidR="0055250C" w:rsidRPr="00A55A74">
        <w:rPr>
          <w:rFonts w:ascii="Arial" w:hAnsi="Arial" w:cs="Arial"/>
          <w:color w:val="000000"/>
        </w:rPr>
        <w:t xml:space="preserve"> and the Head of Governance</w:t>
      </w:r>
      <w:r w:rsidRPr="00A55A74">
        <w:rPr>
          <w:rFonts w:ascii="Arial" w:hAnsi="Arial" w:cs="Arial"/>
          <w:color w:val="000000"/>
        </w:rPr>
        <w:t xml:space="preserve">. </w:t>
      </w:r>
    </w:p>
    <w:p w:rsidR="00B03D6A" w:rsidRPr="005665C5" w:rsidRDefault="00B03D6A" w:rsidP="00B03D6A">
      <w:pPr>
        <w:jc w:val="both"/>
        <w:rPr>
          <w:rFonts w:ascii="Arial" w:hAnsi="Arial" w:cs="Arial"/>
        </w:rPr>
      </w:pPr>
      <w:r w:rsidRPr="00A55A74">
        <w:rPr>
          <w:rFonts w:ascii="Arial" w:hAnsi="Arial" w:cs="Arial"/>
          <w:color w:val="000000"/>
        </w:rPr>
        <w:t>The Group has two aims: first, to receive information about</w:t>
      </w:r>
      <w:r w:rsidR="005665C5" w:rsidRPr="00A55A74">
        <w:rPr>
          <w:rFonts w:ascii="Arial" w:hAnsi="Arial" w:cs="Arial"/>
          <w:color w:val="000000"/>
        </w:rPr>
        <w:t xml:space="preserve"> – and conduct a th</w:t>
      </w:r>
      <w:r w:rsidR="005665C5" w:rsidRPr="00A55A74">
        <w:rPr>
          <w:rFonts w:ascii="Arial" w:hAnsi="Arial" w:cs="Arial"/>
        </w:rPr>
        <w:t>o</w:t>
      </w:r>
      <w:r w:rsidR="005665C5" w:rsidRPr="005665C5">
        <w:rPr>
          <w:rFonts w:ascii="Arial" w:hAnsi="Arial" w:cs="Arial"/>
        </w:rPr>
        <w:t>rough peer review on-</w:t>
      </w:r>
      <w:r w:rsidRPr="005665C5">
        <w:rPr>
          <w:rFonts w:ascii="Arial" w:hAnsi="Arial" w:cs="Arial"/>
        </w:rPr>
        <w:t xml:space="preserve"> feedback/complaints figures and trends from throughout the organisation</w:t>
      </w:r>
      <w:r w:rsidRPr="005665C5">
        <w:rPr>
          <w:rStyle w:val="FootnoteReference"/>
          <w:rFonts w:ascii="Arial" w:hAnsi="Arial" w:cs="Arial"/>
        </w:rPr>
        <w:footnoteReference w:id="2"/>
      </w:r>
      <w:r w:rsidR="005665C5" w:rsidRPr="005665C5">
        <w:rPr>
          <w:rFonts w:ascii="Arial" w:hAnsi="Arial" w:cs="Arial"/>
        </w:rPr>
        <w:t xml:space="preserve">, as part of a learning and </w:t>
      </w:r>
      <w:r w:rsidR="00C23512" w:rsidRPr="005665C5">
        <w:rPr>
          <w:rFonts w:ascii="Arial" w:hAnsi="Arial" w:cs="Arial"/>
        </w:rPr>
        <w:t>continuous</w:t>
      </w:r>
      <w:r w:rsidR="005665C5" w:rsidRPr="005665C5">
        <w:rPr>
          <w:rFonts w:ascii="Arial" w:hAnsi="Arial" w:cs="Arial"/>
        </w:rPr>
        <w:t xml:space="preserve"> </w:t>
      </w:r>
      <w:r w:rsidR="00C23512" w:rsidRPr="005665C5">
        <w:rPr>
          <w:rFonts w:ascii="Arial" w:hAnsi="Arial" w:cs="Arial"/>
        </w:rPr>
        <w:t>improvement</w:t>
      </w:r>
      <w:r w:rsidR="005665C5" w:rsidRPr="005665C5">
        <w:rPr>
          <w:rFonts w:ascii="Arial" w:hAnsi="Arial" w:cs="Arial"/>
        </w:rPr>
        <w:t xml:space="preserve"> process.  Second, to report to OGB’s Trustees and publically </w:t>
      </w:r>
      <w:r w:rsidR="0055250C">
        <w:rPr>
          <w:rFonts w:ascii="Arial" w:hAnsi="Arial" w:cs="Arial"/>
        </w:rPr>
        <w:t xml:space="preserve">(by way of this Review), </w:t>
      </w:r>
      <w:r w:rsidR="005665C5" w:rsidRPr="005665C5">
        <w:rPr>
          <w:rFonts w:ascii="Arial" w:hAnsi="Arial" w:cs="Arial"/>
        </w:rPr>
        <w:t xml:space="preserve">as evidence of our commitment to </w:t>
      </w:r>
      <w:r w:rsidR="00C23512" w:rsidRPr="005665C5">
        <w:rPr>
          <w:rFonts w:ascii="Arial" w:hAnsi="Arial" w:cs="Arial"/>
        </w:rPr>
        <w:t>accountability</w:t>
      </w:r>
      <w:r w:rsidR="005665C5" w:rsidRPr="005665C5">
        <w:rPr>
          <w:rFonts w:ascii="Arial" w:hAnsi="Arial" w:cs="Arial"/>
        </w:rPr>
        <w:t xml:space="preserve"> and to show how processes are being improved.  </w:t>
      </w:r>
    </w:p>
    <w:p w:rsidR="005665C5" w:rsidRPr="005665C5" w:rsidRDefault="005665C5" w:rsidP="00B03D6A">
      <w:pPr>
        <w:jc w:val="both"/>
        <w:rPr>
          <w:rFonts w:ascii="Arial" w:hAnsi="Arial" w:cs="Arial"/>
        </w:rPr>
      </w:pPr>
      <w:r w:rsidRPr="005665C5">
        <w:rPr>
          <w:rFonts w:ascii="Arial" w:hAnsi="Arial" w:cs="Arial"/>
        </w:rPr>
        <w:t>At its June 2017 meeting, the Group noted that the Complaints Policy and associated processes are easily accessible on our website (just</w:t>
      </w:r>
      <w:r w:rsidR="00F33DF4">
        <w:rPr>
          <w:rFonts w:ascii="Arial" w:hAnsi="Arial" w:cs="Arial"/>
        </w:rPr>
        <w:t xml:space="preserve"> two clicks from the home page), with clear contact information (by email, post and telephone).  However, some improvement</w:t>
      </w:r>
      <w:r w:rsidRPr="005665C5">
        <w:rPr>
          <w:rFonts w:ascii="Arial" w:hAnsi="Arial" w:cs="Arial"/>
        </w:rPr>
        <w:t xml:space="preserve"> is needed to ensure, for example, that previous years’ versions of this Re</w:t>
      </w:r>
      <w:r w:rsidR="00F33DF4">
        <w:rPr>
          <w:rFonts w:ascii="Arial" w:hAnsi="Arial" w:cs="Arial"/>
        </w:rPr>
        <w:t>view</w:t>
      </w:r>
      <w:r w:rsidRPr="005665C5">
        <w:rPr>
          <w:rFonts w:ascii="Arial" w:hAnsi="Arial" w:cs="Arial"/>
        </w:rPr>
        <w:t xml:space="preserve"> are on the website</w:t>
      </w:r>
      <w:r w:rsidR="00573B1B">
        <w:rPr>
          <w:rFonts w:ascii="Arial" w:hAnsi="Arial" w:cs="Arial"/>
        </w:rPr>
        <w:t>.</w:t>
      </w:r>
      <w:r w:rsidRPr="005665C5">
        <w:rPr>
          <w:rFonts w:ascii="Arial" w:hAnsi="Arial" w:cs="Arial"/>
        </w:rPr>
        <w:t xml:space="preserve">  </w:t>
      </w:r>
    </w:p>
    <w:p w:rsidR="005665C5" w:rsidRDefault="005665C5" w:rsidP="00B03D6A">
      <w:pPr>
        <w:jc w:val="both"/>
        <w:rPr>
          <w:rFonts w:ascii="Arial" w:hAnsi="Arial" w:cs="Arial"/>
        </w:rPr>
      </w:pPr>
      <w:r w:rsidRPr="005665C5">
        <w:rPr>
          <w:rFonts w:ascii="Arial" w:hAnsi="Arial" w:cs="Arial"/>
        </w:rPr>
        <w:t>The current Complaints Policy was developed in 2012 a</w:t>
      </w:r>
      <w:r w:rsidR="00F33DF4">
        <w:rPr>
          <w:rFonts w:ascii="Arial" w:hAnsi="Arial" w:cs="Arial"/>
        </w:rPr>
        <w:t>nd therefore is due for review this year (u</w:t>
      </w:r>
      <w:r w:rsidR="00D5561F">
        <w:rPr>
          <w:rFonts w:ascii="Arial" w:hAnsi="Arial" w:cs="Arial"/>
        </w:rPr>
        <w:t>nless a cross-federation Policy is developed by OI in the meantime</w:t>
      </w:r>
      <w:r w:rsidR="00F33DF4">
        <w:rPr>
          <w:rFonts w:ascii="Arial" w:hAnsi="Arial" w:cs="Arial"/>
        </w:rPr>
        <w:t>)</w:t>
      </w:r>
      <w:r w:rsidRPr="005665C5">
        <w:rPr>
          <w:rFonts w:ascii="Arial" w:hAnsi="Arial" w:cs="Arial"/>
        </w:rPr>
        <w:t xml:space="preserve">.  </w:t>
      </w:r>
    </w:p>
    <w:p w:rsidR="005665C5" w:rsidRPr="00B03D6A" w:rsidRDefault="00D5561F" w:rsidP="00B03D6A">
      <w:pPr>
        <w:jc w:val="both"/>
        <w:rPr>
          <w:rFonts w:ascii="Arial" w:hAnsi="Arial" w:cs="Arial"/>
          <w:b/>
        </w:rPr>
      </w:pPr>
      <w:r>
        <w:rPr>
          <w:rFonts w:ascii="Arial" w:hAnsi="Arial" w:cs="Arial"/>
        </w:rPr>
        <w:t xml:space="preserve">The Group’s remit includes the review of any appeals heard in the year under the Appeals Process.  However, there were no appeals in 2016-17. </w:t>
      </w:r>
    </w:p>
    <w:p w:rsidR="00C06CFD" w:rsidRDefault="003A282D" w:rsidP="003A282D">
      <w:pPr>
        <w:pStyle w:val="ListParagraph"/>
        <w:numPr>
          <w:ilvl w:val="0"/>
          <w:numId w:val="4"/>
        </w:numPr>
        <w:ind w:hanging="720"/>
        <w:jc w:val="both"/>
        <w:rPr>
          <w:rFonts w:ascii="Arial" w:hAnsi="Arial" w:cs="Arial"/>
          <w:b/>
        </w:rPr>
      </w:pPr>
      <w:r w:rsidRPr="003A282D">
        <w:rPr>
          <w:rFonts w:ascii="Arial" w:hAnsi="Arial" w:cs="Arial"/>
          <w:b/>
        </w:rPr>
        <w:t>Programme</w:t>
      </w:r>
    </w:p>
    <w:p w:rsidR="00C06CFD" w:rsidRDefault="00C06CFD" w:rsidP="00C06CFD">
      <w:pPr>
        <w:jc w:val="both"/>
        <w:rPr>
          <w:rFonts w:ascii="Arial" w:hAnsi="Arial" w:cs="Arial"/>
          <w:b/>
        </w:rPr>
      </w:pPr>
      <w:r>
        <w:rPr>
          <w:rFonts w:ascii="Arial" w:hAnsi="Arial" w:cs="Arial"/>
          <w:b/>
        </w:rPr>
        <w:t>A</w:t>
      </w:r>
      <w:r w:rsidR="00705CD3">
        <w:rPr>
          <w:rFonts w:ascii="Arial" w:hAnsi="Arial" w:cs="Arial"/>
          <w:b/>
        </w:rPr>
        <w:t>bout our Complaints Handling Processes</w:t>
      </w:r>
    </w:p>
    <w:p w:rsidR="00EC2BD6" w:rsidRPr="00D40112" w:rsidRDefault="00EC2BD6" w:rsidP="00C06CFD">
      <w:pPr>
        <w:jc w:val="both"/>
        <w:rPr>
          <w:rFonts w:ascii="Arial" w:hAnsi="Arial" w:cs="Arial"/>
        </w:rPr>
      </w:pPr>
      <w:r w:rsidRPr="00D40112">
        <w:rPr>
          <w:rFonts w:ascii="Arial" w:hAnsi="Arial" w:cs="Arial"/>
        </w:rPr>
        <w:t xml:space="preserve">OGB, as part of the Oxfam confederation worldwide, </w:t>
      </w:r>
      <w:r w:rsidR="00D40112" w:rsidRPr="00D40112">
        <w:rPr>
          <w:rFonts w:ascii="Arial" w:hAnsi="Arial" w:cs="Arial"/>
        </w:rPr>
        <w:t>is undergoing</w:t>
      </w:r>
      <w:r w:rsidR="0056182B">
        <w:rPr>
          <w:rFonts w:ascii="Arial" w:hAnsi="Arial" w:cs="Arial"/>
        </w:rPr>
        <w:t xml:space="preserve"> major change in order </w:t>
      </w:r>
      <w:proofErr w:type="gramStart"/>
      <w:r w:rsidR="0056182B">
        <w:rPr>
          <w:rFonts w:ascii="Arial" w:hAnsi="Arial" w:cs="Arial"/>
        </w:rPr>
        <w:t xml:space="preserve">to </w:t>
      </w:r>
      <w:r w:rsidR="00CA49E9" w:rsidRPr="00D40112">
        <w:rPr>
          <w:rFonts w:ascii="Arial" w:hAnsi="Arial" w:cs="Arial"/>
        </w:rPr>
        <w:t xml:space="preserve"> achiev</w:t>
      </w:r>
      <w:r w:rsidR="0056182B">
        <w:rPr>
          <w:rFonts w:ascii="Arial" w:hAnsi="Arial" w:cs="Arial"/>
        </w:rPr>
        <w:t>e</w:t>
      </w:r>
      <w:proofErr w:type="gramEnd"/>
      <w:r w:rsidR="00CA49E9" w:rsidRPr="00D40112">
        <w:rPr>
          <w:rFonts w:ascii="Arial" w:hAnsi="Arial" w:cs="Arial"/>
        </w:rPr>
        <w:t xml:space="preserve"> the global “One Oxfam” model.   As part of this, a number of </w:t>
      </w:r>
      <w:r w:rsidR="009D0D7E" w:rsidRPr="00D40112">
        <w:rPr>
          <w:rFonts w:ascii="Arial" w:hAnsi="Arial" w:cs="Arial"/>
        </w:rPr>
        <w:t>our Regional</w:t>
      </w:r>
      <w:r w:rsidR="00D40112" w:rsidRPr="00D40112">
        <w:rPr>
          <w:rFonts w:ascii="Arial" w:hAnsi="Arial" w:cs="Arial"/>
        </w:rPr>
        <w:t xml:space="preserve"> Centres have closed, with others planned to close </w:t>
      </w:r>
      <w:r w:rsidR="00526FFE">
        <w:rPr>
          <w:rFonts w:ascii="Arial" w:hAnsi="Arial" w:cs="Arial"/>
        </w:rPr>
        <w:t>by the end of June</w:t>
      </w:r>
      <w:r w:rsidR="00D40112" w:rsidRPr="00D40112">
        <w:rPr>
          <w:rFonts w:ascii="Arial" w:hAnsi="Arial" w:cs="Arial"/>
        </w:rPr>
        <w:t>.  A</w:t>
      </w:r>
      <w:r w:rsidR="0056182B">
        <w:rPr>
          <w:rFonts w:ascii="Arial" w:hAnsi="Arial" w:cs="Arial"/>
        </w:rPr>
        <w:t>ccordingly</w:t>
      </w:r>
      <w:r w:rsidR="00D40112" w:rsidRPr="00D40112">
        <w:rPr>
          <w:rFonts w:ascii="Arial" w:hAnsi="Arial" w:cs="Arial"/>
        </w:rPr>
        <w:t xml:space="preserve">, our website </w:t>
      </w:r>
      <w:r w:rsidR="0056182B">
        <w:rPr>
          <w:rFonts w:ascii="Arial" w:hAnsi="Arial" w:cs="Arial"/>
        </w:rPr>
        <w:t xml:space="preserve">now </w:t>
      </w:r>
      <w:r w:rsidR="00D40112" w:rsidRPr="00D40112">
        <w:rPr>
          <w:rFonts w:ascii="Arial" w:hAnsi="Arial" w:cs="Arial"/>
        </w:rPr>
        <w:t>encourages anyone w</w:t>
      </w:r>
      <w:r w:rsidR="0056182B">
        <w:rPr>
          <w:rFonts w:ascii="Arial" w:hAnsi="Arial" w:cs="Arial"/>
        </w:rPr>
        <w:t xml:space="preserve">ho has </w:t>
      </w:r>
      <w:r w:rsidR="00D40112" w:rsidRPr="00D40112">
        <w:rPr>
          <w:rFonts w:ascii="Arial" w:hAnsi="Arial" w:cs="Arial"/>
        </w:rPr>
        <w:t>a complaint about a programme or activity in our International Programme to contact the Country Office concerned.  However</w:t>
      </w:r>
      <w:r w:rsidR="0056182B">
        <w:rPr>
          <w:rFonts w:ascii="Arial" w:hAnsi="Arial" w:cs="Arial"/>
        </w:rPr>
        <w:t>,</w:t>
      </w:r>
      <w:r w:rsidR="00D40112" w:rsidRPr="00D40112">
        <w:rPr>
          <w:rFonts w:ascii="Arial" w:hAnsi="Arial" w:cs="Arial"/>
        </w:rPr>
        <w:t xml:space="preserve"> we </w:t>
      </w:r>
      <w:r w:rsidR="009D6F67">
        <w:rPr>
          <w:rFonts w:ascii="Arial" w:hAnsi="Arial" w:cs="Arial"/>
        </w:rPr>
        <w:t xml:space="preserve">also </w:t>
      </w:r>
      <w:r w:rsidR="00D40112" w:rsidRPr="00D40112">
        <w:rPr>
          <w:rFonts w:ascii="Arial" w:hAnsi="Arial" w:cs="Arial"/>
        </w:rPr>
        <w:t xml:space="preserve">provide an email address </w:t>
      </w:r>
      <w:r w:rsidR="009D6F67">
        <w:rPr>
          <w:rFonts w:ascii="Arial" w:hAnsi="Arial" w:cs="Arial"/>
        </w:rPr>
        <w:t>which is currently</w:t>
      </w:r>
      <w:r w:rsidR="00D40112" w:rsidRPr="00D40112">
        <w:rPr>
          <w:rFonts w:ascii="Arial" w:hAnsi="Arial" w:cs="Arial"/>
        </w:rPr>
        <w:t xml:space="preserve"> monitored by</w:t>
      </w:r>
      <w:r w:rsidR="00D40112">
        <w:rPr>
          <w:rFonts w:ascii="Arial" w:hAnsi="Arial" w:cs="Arial"/>
        </w:rPr>
        <w:t xml:space="preserve"> OGB’s Supporter Relations team</w:t>
      </w:r>
      <w:r w:rsidR="0056182B">
        <w:rPr>
          <w:rFonts w:ascii="Arial" w:hAnsi="Arial" w:cs="Arial"/>
        </w:rPr>
        <w:t xml:space="preserve"> – who pass on comments and queries to the relevant Country Director.  Supporter Relations’ procedure would be to forward any complaints </w:t>
      </w:r>
      <w:r w:rsidR="009D0D7E">
        <w:rPr>
          <w:rFonts w:ascii="Arial" w:hAnsi="Arial" w:cs="Arial"/>
        </w:rPr>
        <w:t>received</w:t>
      </w:r>
      <w:r w:rsidR="0056182B">
        <w:rPr>
          <w:rFonts w:ascii="Arial" w:hAnsi="Arial" w:cs="Arial"/>
        </w:rPr>
        <w:t xml:space="preserve"> via this email to our </w:t>
      </w:r>
      <w:proofErr w:type="spellStart"/>
      <w:r w:rsidR="0056182B">
        <w:rPr>
          <w:rFonts w:ascii="Arial" w:hAnsi="Arial" w:cs="Arial"/>
        </w:rPr>
        <w:t>Whistleblowing</w:t>
      </w:r>
      <w:proofErr w:type="spellEnd"/>
      <w:r w:rsidR="0056182B">
        <w:rPr>
          <w:rFonts w:ascii="Arial" w:hAnsi="Arial" w:cs="Arial"/>
        </w:rPr>
        <w:t xml:space="preserve"> Team but to date (May-June 2017), there have not been any.</w:t>
      </w:r>
    </w:p>
    <w:p w:rsidR="00C06CFD" w:rsidRPr="00705CD3" w:rsidRDefault="00C06CFD" w:rsidP="00C06CFD">
      <w:pPr>
        <w:jc w:val="both"/>
        <w:rPr>
          <w:rFonts w:ascii="Arial" w:hAnsi="Arial" w:cs="Arial"/>
        </w:rPr>
      </w:pPr>
      <w:r w:rsidRPr="00705CD3">
        <w:rPr>
          <w:rFonts w:ascii="Arial" w:hAnsi="Arial" w:cs="Arial"/>
        </w:rPr>
        <w:t>As in previous years, significant complaints (“serious complaints about programmes/pa</w:t>
      </w:r>
      <w:r w:rsidR="00F1064E" w:rsidRPr="00705CD3">
        <w:rPr>
          <w:rFonts w:ascii="Arial" w:hAnsi="Arial" w:cs="Arial"/>
        </w:rPr>
        <w:t>rtners”) are reported to us in each</w:t>
      </w:r>
      <w:r w:rsidRPr="00705CD3">
        <w:rPr>
          <w:rFonts w:ascii="Arial" w:hAnsi="Arial" w:cs="Arial"/>
        </w:rPr>
        <w:t xml:space="preserve"> country’s Quarterly Management Reports (</w:t>
      </w:r>
      <w:r w:rsidRPr="00705CD3">
        <w:rPr>
          <w:rFonts w:ascii="Arial" w:hAnsi="Arial" w:cs="Arial"/>
          <w:b/>
        </w:rPr>
        <w:t>QMRs</w:t>
      </w:r>
      <w:r w:rsidRPr="00705CD3">
        <w:rPr>
          <w:rFonts w:ascii="Arial" w:hAnsi="Arial" w:cs="Arial"/>
        </w:rPr>
        <w:t>).  However, the information in the QMRs is seen as being mainly operational in nature and for Country Di</w:t>
      </w:r>
      <w:r w:rsidR="00F33DF4" w:rsidRPr="00705CD3">
        <w:rPr>
          <w:rFonts w:ascii="Arial" w:hAnsi="Arial" w:cs="Arial"/>
        </w:rPr>
        <w:t xml:space="preserve">rector/OI Regional Director use.  Hence it has not been collated for the purposes of this Review.  </w:t>
      </w:r>
      <w:r w:rsidRPr="00705CD3">
        <w:rPr>
          <w:rFonts w:ascii="Arial" w:hAnsi="Arial" w:cs="Arial"/>
        </w:rPr>
        <w:t xml:space="preserve"> </w:t>
      </w:r>
    </w:p>
    <w:p w:rsidR="00F1064E" w:rsidRPr="00705CD3" w:rsidRDefault="00C06CFD" w:rsidP="00C06CFD">
      <w:pPr>
        <w:jc w:val="both"/>
        <w:rPr>
          <w:rFonts w:ascii="Arial" w:hAnsi="Arial" w:cs="Arial"/>
        </w:rPr>
      </w:pPr>
      <w:r w:rsidRPr="00705CD3">
        <w:rPr>
          <w:rFonts w:ascii="Arial" w:hAnsi="Arial" w:cs="Arial"/>
        </w:rPr>
        <w:t xml:space="preserve">The OOR 2016-17, for which OI is currently collating content from each Programme country, will include formal written </w:t>
      </w:r>
      <w:r w:rsidR="00324B54" w:rsidRPr="00705CD3">
        <w:rPr>
          <w:rFonts w:ascii="Arial" w:hAnsi="Arial" w:cs="Arial"/>
        </w:rPr>
        <w:t>complaints</w:t>
      </w:r>
      <w:r w:rsidRPr="00705CD3">
        <w:rPr>
          <w:rFonts w:ascii="Arial" w:hAnsi="Arial" w:cs="Arial"/>
        </w:rPr>
        <w:t xml:space="preserve"> received from individuals directly affected by Programmes, partner organisations and the general public.  The OOR will </w:t>
      </w:r>
      <w:r w:rsidR="00324B54" w:rsidRPr="00705CD3">
        <w:rPr>
          <w:rFonts w:ascii="Arial" w:hAnsi="Arial" w:cs="Arial"/>
        </w:rPr>
        <w:t>show</w:t>
      </w:r>
      <w:r w:rsidRPr="00705CD3">
        <w:rPr>
          <w:rFonts w:ascii="Arial" w:hAnsi="Arial" w:cs="Arial"/>
        </w:rPr>
        <w:t xml:space="preserve"> numbers </w:t>
      </w:r>
      <w:r w:rsidR="00F33DF4" w:rsidRPr="00705CD3">
        <w:rPr>
          <w:rFonts w:ascii="Arial" w:hAnsi="Arial" w:cs="Arial"/>
        </w:rPr>
        <w:t xml:space="preserve">of complaints in each category which have been responded to or </w:t>
      </w:r>
      <w:r w:rsidRPr="00705CD3">
        <w:rPr>
          <w:rFonts w:ascii="Arial" w:hAnsi="Arial" w:cs="Arial"/>
        </w:rPr>
        <w:t xml:space="preserve">resolved and </w:t>
      </w:r>
      <w:r w:rsidR="00F1064E" w:rsidRPr="00705CD3">
        <w:rPr>
          <w:rFonts w:ascii="Arial" w:hAnsi="Arial" w:cs="Arial"/>
        </w:rPr>
        <w:t xml:space="preserve">a </w:t>
      </w:r>
      <w:r w:rsidR="00324B54" w:rsidRPr="00705CD3">
        <w:rPr>
          <w:rFonts w:ascii="Arial" w:hAnsi="Arial" w:cs="Arial"/>
        </w:rPr>
        <w:t>summary</w:t>
      </w:r>
      <w:r w:rsidR="00F1064E" w:rsidRPr="00705CD3">
        <w:rPr>
          <w:rFonts w:ascii="Arial" w:hAnsi="Arial" w:cs="Arial"/>
        </w:rPr>
        <w:t xml:space="preserve"> of </w:t>
      </w:r>
      <w:r w:rsidR="00324B54" w:rsidRPr="00705CD3">
        <w:rPr>
          <w:rFonts w:ascii="Arial" w:hAnsi="Arial" w:cs="Arial"/>
        </w:rPr>
        <w:t>themes</w:t>
      </w:r>
      <w:r w:rsidR="00F1064E" w:rsidRPr="00705CD3">
        <w:rPr>
          <w:rFonts w:ascii="Arial" w:hAnsi="Arial" w:cs="Arial"/>
        </w:rPr>
        <w:t xml:space="preserve"> in the nature of complaints.  </w:t>
      </w:r>
    </w:p>
    <w:p w:rsidR="00324B54" w:rsidRPr="00705CD3" w:rsidRDefault="00190DA5" w:rsidP="00C06CFD">
      <w:pPr>
        <w:jc w:val="both"/>
        <w:rPr>
          <w:rFonts w:ascii="Arial" w:hAnsi="Arial" w:cs="Arial"/>
        </w:rPr>
      </w:pPr>
      <w:r w:rsidRPr="00705CD3">
        <w:rPr>
          <w:rFonts w:ascii="Arial" w:hAnsi="Arial" w:cs="Arial"/>
        </w:rPr>
        <w:lastRenderedPageBreak/>
        <w:t xml:space="preserve">Under Oxfam’s confederation structure, complaints in countries and </w:t>
      </w:r>
      <w:r w:rsidR="00324B54" w:rsidRPr="00705CD3">
        <w:rPr>
          <w:rFonts w:ascii="Arial" w:hAnsi="Arial" w:cs="Arial"/>
        </w:rPr>
        <w:t>regions</w:t>
      </w:r>
      <w:r w:rsidRPr="00705CD3">
        <w:rPr>
          <w:rFonts w:ascii="Arial" w:hAnsi="Arial" w:cs="Arial"/>
        </w:rPr>
        <w:t xml:space="preserve"> are channelled mainly </w:t>
      </w:r>
      <w:r w:rsidR="00324B54" w:rsidRPr="00705CD3">
        <w:rPr>
          <w:rFonts w:ascii="Arial" w:hAnsi="Arial" w:cs="Arial"/>
        </w:rPr>
        <w:t>through</w:t>
      </w:r>
      <w:r w:rsidRPr="00705CD3">
        <w:rPr>
          <w:rFonts w:ascii="Arial" w:hAnsi="Arial" w:cs="Arial"/>
        </w:rPr>
        <w:t xml:space="preserve"> the </w:t>
      </w:r>
      <w:r w:rsidR="00324B54" w:rsidRPr="00705CD3">
        <w:rPr>
          <w:rFonts w:ascii="Arial" w:hAnsi="Arial" w:cs="Arial"/>
        </w:rPr>
        <w:t>Executing</w:t>
      </w:r>
      <w:r w:rsidRPr="00705CD3">
        <w:rPr>
          <w:rFonts w:ascii="Arial" w:hAnsi="Arial" w:cs="Arial"/>
        </w:rPr>
        <w:t xml:space="preserve"> Affiliate </w:t>
      </w:r>
      <w:r w:rsidR="002D11BD" w:rsidRPr="00705CD3">
        <w:rPr>
          <w:rFonts w:ascii="Arial" w:hAnsi="Arial" w:cs="Arial"/>
        </w:rPr>
        <w:t>(</w:t>
      </w:r>
      <w:r w:rsidR="002D11BD" w:rsidRPr="00705CD3">
        <w:rPr>
          <w:rFonts w:ascii="Arial" w:hAnsi="Arial" w:cs="Arial"/>
          <w:b/>
        </w:rPr>
        <w:t>EA</w:t>
      </w:r>
      <w:r w:rsidR="002D11BD" w:rsidRPr="00705CD3">
        <w:rPr>
          <w:rFonts w:ascii="Arial" w:hAnsi="Arial" w:cs="Arial"/>
        </w:rPr>
        <w:t xml:space="preserve">) </w:t>
      </w:r>
      <w:r w:rsidRPr="00705CD3">
        <w:rPr>
          <w:rFonts w:ascii="Arial" w:hAnsi="Arial" w:cs="Arial"/>
        </w:rPr>
        <w:t xml:space="preserve">systems.  </w:t>
      </w:r>
      <w:r w:rsidR="002D11BD" w:rsidRPr="00705CD3">
        <w:rPr>
          <w:rFonts w:ascii="Arial" w:hAnsi="Arial" w:cs="Arial"/>
        </w:rPr>
        <w:t>Th</w:t>
      </w:r>
      <w:r w:rsidRPr="00705CD3">
        <w:rPr>
          <w:rFonts w:ascii="Arial" w:hAnsi="Arial" w:cs="Arial"/>
        </w:rPr>
        <w:t>e EA Service Level Agreement includes a commitment to inform the OI li</w:t>
      </w:r>
      <w:r w:rsidR="002D11BD" w:rsidRPr="00705CD3">
        <w:rPr>
          <w:rFonts w:ascii="Arial" w:hAnsi="Arial" w:cs="Arial"/>
        </w:rPr>
        <w:t>ne of complaints</w:t>
      </w:r>
      <w:r w:rsidRPr="00705CD3">
        <w:rPr>
          <w:rFonts w:ascii="Arial" w:hAnsi="Arial" w:cs="Arial"/>
        </w:rPr>
        <w:t xml:space="preserve">.  Country Directors also inform the </w:t>
      </w:r>
      <w:r w:rsidR="00324B54" w:rsidRPr="00705CD3">
        <w:rPr>
          <w:rFonts w:ascii="Arial" w:hAnsi="Arial" w:cs="Arial"/>
        </w:rPr>
        <w:t>rest</w:t>
      </w:r>
      <w:r w:rsidRPr="00705CD3">
        <w:rPr>
          <w:rFonts w:ascii="Arial" w:hAnsi="Arial" w:cs="Arial"/>
        </w:rPr>
        <w:t xml:space="preserve"> of Partner Affiliates and the Country Governance Group </w:t>
      </w:r>
      <w:r w:rsidR="00324B54" w:rsidRPr="00705CD3">
        <w:rPr>
          <w:rFonts w:ascii="Arial" w:hAnsi="Arial" w:cs="Arial"/>
        </w:rPr>
        <w:t>about complaints and reflect them in the Quarterly Risk Register.</w:t>
      </w:r>
    </w:p>
    <w:p w:rsidR="00324B54" w:rsidRDefault="00324B54" w:rsidP="00C06CFD">
      <w:pPr>
        <w:jc w:val="both"/>
        <w:rPr>
          <w:rFonts w:ascii="Arial" w:hAnsi="Arial" w:cs="Arial"/>
        </w:rPr>
      </w:pPr>
      <w:r w:rsidRPr="00705CD3">
        <w:rPr>
          <w:rFonts w:ascii="Arial" w:hAnsi="Arial" w:cs="Arial"/>
        </w:rPr>
        <w:t>There is a specific protocol for humanitarian responses supervised by OI’s Global Humanitarian Team</w:t>
      </w:r>
      <w:r w:rsidR="00705CD3" w:rsidRPr="00705CD3">
        <w:rPr>
          <w:rFonts w:ascii="Arial" w:hAnsi="Arial" w:cs="Arial"/>
        </w:rPr>
        <w:t xml:space="preserve"> (</w:t>
      </w:r>
      <w:r w:rsidR="00705CD3" w:rsidRPr="00705CD3">
        <w:rPr>
          <w:rFonts w:ascii="Arial" w:hAnsi="Arial" w:cs="Arial"/>
          <w:b/>
        </w:rPr>
        <w:t>GHT)</w:t>
      </w:r>
      <w:r w:rsidRPr="00705CD3">
        <w:rPr>
          <w:rFonts w:ascii="Arial" w:hAnsi="Arial" w:cs="Arial"/>
        </w:rPr>
        <w:t>.  In each response, the country team sets up a complaints channel available to communities and partners</w:t>
      </w:r>
      <w:r w:rsidR="00705CD3" w:rsidRPr="00705CD3">
        <w:rPr>
          <w:rFonts w:ascii="Arial" w:hAnsi="Arial" w:cs="Arial"/>
        </w:rPr>
        <w:t>.</w:t>
      </w:r>
    </w:p>
    <w:p w:rsidR="00705CD3" w:rsidRDefault="00705CD3" w:rsidP="00C06CFD">
      <w:pPr>
        <w:jc w:val="both"/>
        <w:rPr>
          <w:rFonts w:ascii="Arial" w:hAnsi="Arial" w:cs="Arial"/>
          <w:b/>
        </w:rPr>
      </w:pPr>
      <w:r>
        <w:rPr>
          <w:rFonts w:ascii="Arial" w:hAnsi="Arial" w:cs="Arial"/>
          <w:b/>
        </w:rPr>
        <w:t>Progress</w:t>
      </w:r>
    </w:p>
    <w:p w:rsidR="008578DF" w:rsidRDefault="008578DF" w:rsidP="008578DF">
      <w:pPr>
        <w:jc w:val="both"/>
        <w:rPr>
          <w:rFonts w:ascii="Arial" w:hAnsi="Arial" w:cs="Arial"/>
        </w:rPr>
      </w:pPr>
      <w:r>
        <w:rPr>
          <w:rFonts w:ascii="Arial" w:hAnsi="Arial" w:cs="Arial"/>
        </w:rPr>
        <w:t>AS indicated above, we</w:t>
      </w:r>
      <w:r w:rsidRPr="009D6F67">
        <w:rPr>
          <w:rFonts w:ascii="Arial" w:hAnsi="Arial" w:cs="Arial"/>
        </w:rPr>
        <w:t xml:space="preserve"> have transitioned to recording beneficiary and partner complaints into our programmes through the OI line, so that information on these will be available</w:t>
      </w:r>
      <w:r>
        <w:rPr>
          <w:rFonts w:ascii="Arial" w:hAnsi="Arial" w:cs="Arial"/>
        </w:rPr>
        <w:t xml:space="preserve"> only</w:t>
      </w:r>
      <w:r w:rsidRPr="009D6F67">
        <w:rPr>
          <w:rFonts w:ascii="Arial" w:hAnsi="Arial" w:cs="Arial"/>
        </w:rPr>
        <w:t xml:space="preserve"> later this year – to in</w:t>
      </w:r>
      <w:r>
        <w:rPr>
          <w:rFonts w:ascii="Arial" w:hAnsi="Arial" w:cs="Arial"/>
        </w:rPr>
        <w:t>f</w:t>
      </w:r>
      <w:r w:rsidRPr="009D6F67">
        <w:rPr>
          <w:rFonts w:ascii="Arial" w:hAnsi="Arial" w:cs="Arial"/>
        </w:rPr>
        <w:t>orm the October OI Execu</w:t>
      </w:r>
      <w:r>
        <w:rPr>
          <w:rFonts w:ascii="Arial" w:hAnsi="Arial" w:cs="Arial"/>
        </w:rPr>
        <w:t>tive</w:t>
      </w:r>
      <w:r w:rsidRPr="009D6F67">
        <w:rPr>
          <w:rFonts w:ascii="Arial" w:hAnsi="Arial" w:cs="Arial"/>
        </w:rPr>
        <w:t xml:space="preserve"> Board and Board of Supervisor meetings.    </w:t>
      </w:r>
    </w:p>
    <w:p w:rsidR="008578DF" w:rsidRDefault="008578DF" w:rsidP="008578DF">
      <w:pPr>
        <w:jc w:val="both"/>
        <w:rPr>
          <w:rFonts w:ascii="Arial" w:hAnsi="Arial" w:cs="Arial"/>
          <w:b/>
        </w:rPr>
      </w:pPr>
      <w:r>
        <w:rPr>
          <w:rFonts w:ascii="Arial" w:hAnsi="Arial" w:cs="Arial"/>
        </w:rPr>
        <w:t>Nonetheless, there were a few programme complaints received</w:t>
      </w:r>
      <w:r w:rsidRPr="009D6F67">
        <w:rPr>
          <w:rFonts w:ascii="Arial" w:hAnsi="Arial" w:cs="Arial"/>
        </w:rPr>
        <w:t xml:space="preserve"> </w:t>
      </w:r>
      <w:r>
        <w:rPr>
          <w:rFonts w:ascii="Arial" w:hAnsi="Arial" w:cs="Arial"/>
        </w:rPr>
        <w:t>at OGB HQ level, but there is little evidenced learning for OGB as there is currently no named person to collate the information.</w:t>
      </w:r>
    </w:p>
    <w:p w:rsidR="00324B54" w:rsidRDefault="00324B54" w:rsidP="00C06CFD">
      <w:pPr>
        <w:jc w:val="both"/>
        <w:rPr>
          <w:rFonts w:ascii="Arial" w:hAnsi="Arial" w:cs="Arial"/>
          <w:b/>
        </w:rPr>
      </w:pPr>
      <w:r w:rsidRPr="00324B54">
        <w:rPr>
          <w:rFonts w:ascii="Arial" w:hAnsi="Arial" w:cs="Arial"/>
          <w:b/>
        </w:rPr>
        <w:t>Actions for 2017-18</w:t>
      </w:r>
    </w:p>
    <w:p w:rsidR="008578DF" w:rsidRPr="00324B54" w:rsidRDefault="008578DF" w:rsidP="00C06CFD">
      <w:pPr>
        <w:jc w:val="both"/>
        <w:rPr>
          <w:rFonts w:ascii="Arial" w:hAnsi="Arial" w:cs="Arial"/>
          <w:b/>
        </w:rPr>
      </w:pPr>
      <w:r w:rsidRPr="009D6F67">
        <w:rPr>
          <w:rFonts w:ascii="Arial" w:hAnsi="Arial" w:cs="Arial"/>
        </w:rPr>
        <w:t>The Complaints Group</w:t>
      </w:r>
      <w:r>
        <w:rPr>
          <w:rFonts w:ascii="Arial" w:hAnsi="Arial" w:cs="Arial"/>
        </w:rPr>
        <w:t xml:space="preserve"> will</w:t>
      </w:r>
      <w:r w:rsidRPr="009D6F67">
        <w:rPr>
          <w:rFonts w:ascii="Arial" w:hAnsi="Arial" w:cs="Arial"/>
        </w:rPr>
        <w:t xml:space="preserve"> consider later this year the complaints information in the OOR</w:t>
      </w:r>
      <w:r>
        <w:rPr>
          <w:rFonts w:ascii="Arial" w:hAnsi="Arial" w:cs="Arial"/>
        </w:rPr>
        <w:t xml:space="preserve"> and other available information (</w:t>
      </w:r>
      <w:proofErr w:type="spellStart"/>
      <w:r>
        <w:rPr>
          <w:rFonts w:ascii="Arial" w:hAnsi="Arial" w:cs="Arial"/>
        </w:rPr>
        <w:t>eg</w:t>
      </w:r>
      <w:proofErr w:type="spellEnd"/>
      <w:r>
        <w:rPr>
          <w:rFonts w:ascii="Arial" w:hAnsi="Arial" w:cs="Arial"/>
        </w:rPr>
        <w:t xml:space="preserve"> complaints about OGB’s fulfilment of its Executive Affiliate or Partner Affiliate Role or from donors)</w:t>
      </w:r>
      <w:r w:rsidRPr="009D6F67">
        <w:rPr>
          <w:rFonts w:ascii="Arial" w:hAnsi="Arial" w:cs="Arial"/>
        </w:rPr>
        <w:t xml:space="preserve"> </w:t>
      </w:r>
      <w:r>
        <w:rPr>
          <w:rFonts w:ascii="Arial" w:hAnsi="Arial" w:cs="Arial"/>
        </w:rPr>
        <w:t>in order to</w:t>
      </w:r>
      <w:r w:rsidRPr="009D6F67">
        <w:rPr>
          <w:rFonts w:ascii="Arial" w:hAnsi="Arial" w:cs="Arial"/>
        </w:rPr>
        <w:t xml:space="preserve"> recommend next steps to Leadership Team and/or Council</w:t>
      </w:r>
      <w:r>
        <w:rPr>
          <w:rFonts w:ascii="Arial" w:hAnsi="Arial" w:cs="Arial"/>
        </w:rPr>
        <w:t>.</w:t>
      </w:r>
    </w:p>
    <w:p w:rsidR="003711D5" w:rsidRPr="00705CD3" w:rsidRDefault="003711D5" w:rsidP="00705CD3">
      <w:pPr>
        <w:pStyle w:val="ListParagraph"/>
        <w:numPr>
          <w:ilvl w:val="0"/>
          <w:numId w:val="13"/>
        </w:numPr>
        <w:jc w:val="both"/>
        <w:rPr>
          <w:rFonts w:ascii="Arial" w:hAnsi="Arial" w:cs="Arial"/>
          <w:b/>
        </w:rPr>
      </w:pPr>
      <w:r w:rsidRPr="00705CD3">
        <w:rPr>
          <w:rFonts w:ascii="Arial" w:hAnsi="Arial" w:cs="Arial"/>
          <w:b/>
        </w:rPr>
        <w:br w:type="page"/>
      </w:r>
    </w:p>
    <w:p w:rsidR="003711D5" w:rsidRPr="00252FFB" w:rsidRDefault="003711D5" w:rsidP="00252FFB">
      <w:pPr>
        <w:jc w:val="both"/>
        <w:rPr>
          <w:rFonts w:ascii="Arial" w:hAnsi="Arial" w:cs="Arial"/>
          <w:b/>
        </w:rPr>
      </w:pPr>
      <w:r>
        <w:rPr>
          <w:rFonts w:ascii="Arial" w:hAnsi="Arial" w:cs="Arial"/>
          <w:b/>
        </w:rPr>
        <w:lastRenderedPageBreak/>
        <w:t>3.</w:t>
      </w:r>
      <w:r>
        <w:rPr>
          <w:rFonts w:ascii="Arial" w:hAnsi="Arial" w:cs="Arial"/>
          <w:b/>
        </w:rPr>
        <w:tab/>
        <w:t>Trading</w:t>
      </w:r>
      <w:r>
        <w:rPr>
          <w:rStyle w:val="FootnoteReference"/>
          <w:rFonts w:ascii="Arial" w:hAnsi="Arial" w:cs="Arial"/>
          <w:b/>
        </w:rPr>
        <w:footnoteReference w:id="3"/>
      </w:r>
    </w:p>
    <w:p w:rsidR="005665C5" w:rsidRPr="005665C5" w:rsidRDefault="005665C5" w:rsidP="00252FFB">
      <w:pPr>
        <w:rPr>
          <w:rFonts w:ascii="Arial" w:hAnsi="Arial" w:cs="Arial"/>
          <w:b/>
        </w:rPr>
      </w:pPr>
      <w:r w:rsidRPr="005665C5">
        <w:rPr>
          <w:rFonts w:ascii="Arial" w:hAnsi="Arial" w:cs="Arial"/>
          <w:b/>
        </w:rPr>
        <w:t xml:space="preserve">About our Complaints </w:t>
      </w:r>
      <w:r w:rsidR="00C23512" w:rsidRPr="005665C5">
        <w:rPr>
          <w:rFonts w:ascii="Arial" w:hAnsi="Arial" w:cs="Arial"/>
          <w:b/>
        </w:rPr>
        <w:t>Handling</w:t>
      </w:r>
      <w:r w:rsidRPr="005665C5">
        <w:rPr>
          <w:rFonts w:ascii="Arial" w:hAnsi="Arial" w:cs="Arial"/>
          <w:b/>
        </w:rPr>
        <w:t xml:space="preserve"> Process</w:t>
      </w:r>
    </w:p>
    <w:p w:rsidR="005665C5" w:rsidRDefault="005665C5" w:rsidP="00252FFB">
      <w:pPr>
        <w:rPr>
          <w:rFonts w:ascii="Arial" w:hAnsi="Arial" w:cs="Arial"/>
        </w:rPr>
      </w:pPr>
      <w:r w:rsidRPr="005665C5">
        <w:rPr>
          <w:rFonts w:ascii="Arial" w:hAnsi="Arial" w:cs="Arial"/>
        </w:rPr>
        <w:t>The Trading Division’s complaints handling process is set out in annex</w:t>
      </w:r>
      <w:r w:rsidR="003D10C4">
        <w:rPr>
          <w:rFonts w:ascii="Arial" w:hAnsi="Arial" w:cs="Arial"/>
        </w:rPr>
        <w:t>e</w:t>
      </w:r>
      <w:r w:rsidRPr="005665C5">
        <w:rPr>
          <w:rFonts w:ascii="Arial" w:hAnsi="Arial" w:cs="Arial"/>
        </w:rPr>
        <w:t xml:space="preserve"> 2 to the </w:t>
      </w:r>
      <w:r w:rsidR="00C23512" w:rsidRPr="005665C5">
        <w:rPr>
          <w:rFonts w:ascii="Arial" w:hAnsi="Arial" w:cs="Arial"/>
        </w:rPr>
        <w:t>Complaints</w:t>
      </w:r>
      <w:r w:rsidRPr="005665C5">
        <w:rPr>
          <w:rFonts w:ascii="Arial" w:hAnsi="Arial" w:cs="Arial"/>
        </w:rPr>
        <w:t xml:space="preserve"> Policy and can be summarised as follows:</w:t>
      </w:r>
    </w:p>
    <w:p w:rsidR="009D0D7E" w:rsidRDefault="009D0D7E" w:rsidP="009D0D7E">
      <w:pPr>
        <w:pStyle w:val="ListParagraph"/>
        <w:numPr>
          <w:ilvl w:val="0"/>
          <w:numId w:val="9"/>
        </w:numPr>
        <w:jc w:val="both"/>
        <w:rPr>
          <w:rFonts w:ascii="Arial" w:hAnsi="Arial" w:cs="Arial"/>
        </w:rPr>
      </w:pPr>
      <w:r>
        <w:rPr>
          <w:rFonts w:ascii="Arial" w:hAnsi="Arial" w:cs="Arial"/>
        </w:rPr>
        <w:t xml:space="preserve">Trading Division complaints in this context refers to all complaints that are reported to Shop Support and then logged and managed as complaints under the formal process.  It is recognised that a significant volume of issues are resolved locally and informally by our shop teams.  </w:t>
      </w:r>
    </w:p>
    <w:p w:rsidR="009D0D7E" w:rsidRDefault="009D0D7E" w:rsidP="009D0D7E">
      <w:pPr>
        <w:pStyle w:val="ListParagraph"/>
        <w:numPr>
          <w:ilvl w:val="0"/>
          <w:numId w:val="9"/>
        </w:numPr>
        <w:jc w:val="both"/>
        <w:rPr>
          <w:rFonts w:ascii="Arial" w:hAnsi="Arial" w:cs="Arial"/>
        </w:rPr>
      </w:pPr>
      <w:r>
        <w:rPr>
          <w:rFonts w:ascii="Arial" w:hAnsi="Arial" w:cs="Arial"/>
        </w:rPr>
        <w:t>Where the complaint is such that the customer wishes it to be raised formally or the Shop Manager recognises that this is necessary, the customer is provided with Shop Support contact details.  They can raise the complaint by telephone, email or letter as appropriate.  Contact details are also available on the OGB website should the complainant wish o raise a complaint subsequent to a shop visit or where it may not relate directly to a shop (</w:t>
      </w:r>
      <w:proofErr w:type="spellStart"/>
      <w:r>
        <w:rPr>
          <w:rFonts w:ascii="Arial" w:hAnsi="Arial" w:cs="Arial"/>
        </w:rPr>
        <w:t>eg</w:t>
      </w:r>
      <w:proofErr w:type="spellEnd"/>
      <w:r>
        <w:rPr>
          <w:rFonts w:ascii="Arial" w:hAnsi="Arial" w:cs="Arial"/>
        </w:rPr>
        <w:t xml:space="preserve"> it relates to policy). </w:t>
      </w:r>
    </w:p>
    <w:p w:rsidR="009D0D7E" w:rsidRDefault="009D0D7E" w:rsidP="009D0D7E">
      <w:pPr>
        <w:pStyle w:val="ListParagraph"/>
        <w:numPr>
          <w:ilvl w:val="0"/>
          <w:numId w:val="9"/>
        </w:numPr>
        <w:jc w:val="both"/>
        <w:rPr>
          <w:rFonts w:ascii="Arial" w:hAnsi="Arial" w:cs="Arial"/>
        </w:rPr>
      </w:pPr>
      <w:r>
        <w:rPr>
          <w:rFonts w:ascii="Arial" w:hAnsi="Arial" w:cs="Arial"/>
        </w:rPr>
        <w:t xml:space="preserve">Upon receipt, Shop Support summarise, log and acknowledge within 24 hours, providing details of the complaints process with the acknowledgement.  Shop Support as complaint facilitator then refer the complaint to the most appropriate member of staff to investigate and respond.  </w:t>
      </w:r>
    </w:p>
    <w:p w:rsidR="00252FFB" w:rsidRPr="005271A7" w:rsidRDefault="00252FFB" w:rsidP="00252FFB">
      <w:pPr>
        <w:rPr>
          <w:b/>
          <w:i/>
        </w:rPr>
      </w:pPr>
      <w:r w:rsidRPr="00252FFB">
        <w:rPr>
          <w:rFonts w:ascii="Arial" w:hAnsi="Arial" w:cs="Arial"/>
          <w:b/>
          <w:i/>
        </w:rPr>
        <w:t xml:space="preserve">A breakdown of complaints made by donors, customers and volunteers about Oxfam’s </w:t>
      </w:r>
      <w:proofErr w:type="gramStart"/>
      <w:r w:rsidRPr="00252FFB">
        <w:rPr>
          <w:rFonts w:ascii="Arial" w:hAnsi="Arial" w:cs="Arial"/>
          <w:b/>
          <w:i/>
        </w:rPr>
        <w:t>Trading</w:t>
      </w:r>
      <w:proofErr w:type="gramEnd"/>
      <w:r w:rsidRPr="00252FFB">
        <w:rPr>
          <w:rFonts w:ascii="Arial" w:hAnsi="Arial" w:cs="Arial"/>
          <w:b/>
          <w:i/>
        </w:rPr>
        <w:t xml:space="preserve"> activity, 2016-2017</w:t>
      </w:r>
      <w:r w:rsidRPr="00252FFB">
        <w:rPr>
          <w:rFonts w:ascii="Arial" w:hAnsi="Arial" w:cs="Arial"/>
          <w:b/>
          <w:i/>
        </w:rPr>
        <w:br/>
      </w:r>
      <w:r w:rsidRPr="00F70A9E">
        <w:rPr>
          <w:b/>
          <w: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2FFB" w:rsidRDefault="00252FFB" w:rsidP="00252FFB"/>
    <w:p w:rsidR="00252FFB" w:rsidRPr="00D3727A" w:rsidRDefault="00252FFB" w:rsidP="00D3727A">
      <w:pPr>
        <w:spacing w:after="0" w:line="240" w:lineRule="auto"/>
        <w:jc w:val="both"/>
        <w:rPr>
          <w:rFonts w:ascii="Arial" w:hAnsi="Arial" w:cs="Arial"/>
        </w:rPr>
      </w:pPr>
      <w:r w:rsidRPr="00D3727A">
        <w:rPr>
          <w:rFonts w:ascii="Arial" w:hAnsi="Arial" w:cs="Arial"/>
          <w:b/>
        </w:rPr>
        <w:t xml:space="preserve">Actions and </w:t>
      </w:r>
      <w:r w:rsidR="00D3727A" w:rsidRPr="00D3727A">
        <w:rPr>
          <w:rFonts w:ascii="Arial" w:hAnsi="Arial" w:cs="Arial"/>
          <w:b/>
        </w:rPr>
        <w:t>P</w:t>
      </w:r>
      <w:r w:rsidRPr="00D3727A">
        <w:rPr>
          <w:rFonts w:ascii="Arial" w:hAnsi="Arial" w:cs="Arial"/>
          <w:b/>
        </w:rPr>
        <w:t xml:space="preserve">rogress </w:t>
      </w:r>
    </w:p>
    <w:p w:rsidR="00252FFB" w:rsidRPr="00252FFB" w:rsidRDefault="00252FFB" w:rsidP="00252FFB">
      <w:pPr>
        <w:pStyle w:val="ListParagraph"/>
        <w:ind w:left="360"/>
        <w:jc w:val="both"/>
        <w:rPr>
          <w:rFonts w:ascii="Arial" w:hAnsi="Arial" w:cs="Arial"/>
          <w:b/>
        </w:rPr>
      </w:pPr>
    </w:p>
    <w:p w:rsidR="00252FFB" w:rsidRDefault="00252FFB" w:rsidP="00252FFB">
      <w:pPr>
        <w:pStyle w:val="ListParagraph"/>
        <w:ind w:left="0"/>
        <w:jc w:val="both"/>
        <w:rPr>
          <w:rFonts w:ascii="Arial" w:hAnsi="Arial" w:cs="Arial"/>
        </w:rPr>
      </w:pPr>
      <w:r w:rsidRPr="00252FFB">
        <w:rPr>
          <w:rFonts w:ascii="Arial" w:hAnsi="Arial" w:cs="Arial"/>
        </w:rPr>
        <w:t xml:space="preserve">Complaints about Trading Division activity increased for the first time in a number of years.  From April 2016 to March 2017 there were 388 complaints, a </w:t>
      </w:r>
      <w:r w:rsidR="00D5561F">
        <w:rPr>
          <w:rFonts w:ascii="Arial" w:hAnsi="Arial" w:cs="Arial"/>
        </w:rPr>
        <w:t>small</w:t>
      </w:r>
      <w:r w:rsidRPr="00252FFB">
        <w:rPr>
          <w:rFonts w:ascii="Arial" w:hAnsi="Arial" w:cs="Arial"/>
        </w:rPr>
        <w:t xml:space="preserve"> rise on the 365 received in </w:t>
      </w:r>
      <w:r w:rsidR="00473D17">
        <w:rPr>
          <w:rFonts w:ascii="Arial" w:hAnsi="Arial" w:cs="Arial"/>
        </w:rPr>
        <w:t>2015-2016 but t</w:t>
      </w:r>
      <w:r w:rsidRPr="00252FFB">
        <w:rPr>
          <w:rFonts w:ascii="Arial" w:hAnsi="Arial" w:cs="Arial"/>
        </w:rPr>
        <w:t xml:space="preserve">his was still less than the number in 2014-2015. </w:t>
      </w:r>
    </w:p>
    <w:p w:rsidR="00D32E24" w:rsidRDefault="00D32E24" w:rsidP="00252FFB">
      <w:pPr>
        <w:pStyle w:val="ListParagraph"/>
        <w:ind w:left="0"/>
        <w:jc w:val="both"/>
        <w:rPr>
          <w:rFonts w:ascii="Arial" w:hAnsi="Arial" w:cs="Arial"/>
        </w:rPr>
      </w:pPr>
    </w:p>
    <w:p w:rsidR="00D32E24" w:rsidRPr="00252FFB" w:rsidRDefault="0055250C" w:rsidP="00252FFB">
      <w:pPr>
        <w:pStyle w:val="ListParagraph"/>
        <w:ind w:left="0"/>
        <w:jc w:val="both"/>
        <w:rPr>
          <w:rFonts w:ascii="Arial" w:hAnsi="Arial" w:cs="Arial"/>
        </w:rPr>
      </w:pPr>
      <w:r w:rsidRPr="0055250C">
        <w:rPr>
          <w:rFonts w:ascii="Arial" w:hAnsi="Arial" w:cs="Arial"/>
        </w:rPr>
        <w:lastRenderedPageBreak/>
        <w:t>To put this in perspective</w:t>
      </w:r>
      <w:r w:rsidR="009D0D7E" w:rsidRPr="0055250C">
        <w:rPr>
          <w:rFonts w:ascii="Arial" w:hAnsi="Arial" w:cs="Arial"/>
        </w:rPr>
        <w:t>, OGB</w:t>
      </w:r>
      <w:r w:rsidR="00275EDF" w:rsidRPr="0055250C">
        <w:rPr>
          <w:rFonts w:ascii="Arial" w:hAnsi="Arial" w:cs="Arial"/>
        </w:rPr>
        <w:t xml:space="preserve"> had in the </w:t>
      </w:r>
      <w:r w:rsidR="00275EDF" w:rsidRPr="009D0D7E">
        <w:rPr>
          <w:rFonts w:ascii="Arial" w:hAnsi="Arial" w:cs="Arial"/>
        </w:rPr>
        <w:t xml:space="preserve">region of 640 shops </w:t>
      </w:r>
      <w:r w:rsidRPr="009D0D7E">
        <w:rPr>
          <w:rFonts w:ascii="Arial" w:hAnsi="Arial" w:cs="Arial"/>
        </w:rPr>
        <w:t>in 2016-17</w:t>
      </w:r>
      <w:r w:rsidRPr="0055250C">
        <w:rPr>
          <w:rFonts w:ascii="Arial" w:hAnsi="Arial" w:cs="Arial"/>
        </w:rPr>
        <w:t xml:space="preserve"> and</w:t>
      </w:r>
      <w:r w:rsidR="00275EDF" w:rsidRPr="0055250C">
        <w:rPr>
          <w:rFonts w:ascii="Arial" w:hAnsi="Arial" w:cs="Arial"/>
        </w:rPr>
        <w:t xml:space="preserve"> there were no centrally–logged complaints in relation to</w:t>
      </w:r>
      <w:r w:rsidR="00275EDF">
        <w:rPr>
          <w:rFonts w:ascii="Arial" w:hAnsi="Arial" w:cs="Arial"/>
        </w:rPr>
        <w:t xml:space="preserve"> over 400 of th</w:t>
      </w:r>
      <w:r w:rsidR="00473D17">
        <w:rPr>
          <w:rFonts w:ascii="Arial" w:hAnsi="Arial" w:cs="Arial"/>
        </w:rPr>
        <w:t>o</w:t>
      </w:r>
      <w:r w:rsidR="00275EDF">
        <w:rPr>
          <w:rFonts w:ascii="Arial" w:hAnsi="Arial" w:cs="Arial"/>
        </w:rPr>
        <w:t xml:space="preserve">se shops.  </w:t>
      </w:r>
    </w:p>
    <w:p w:rsidR="00275EDF" w:rsidRDefault="00275EDF" w:rsidP="00D3727A">
      <w:pPr>
        <w:spacing w:after="0" w:line="240" w:lineRule="auto"/>
        <w:jc w:val="both"/>
        <w:rPr>
          <w:rFonts w:ascii="Arial" w:hAnsi="Arial" w:cs="Arial"/>
          <w:b/>
        </w:rPr>
      </w:pPr>
    </w:p>
    <w:p w:rsidR="00252FFB" w:rsidRPr="00D3727A" w:rsidRDefault="00252FFB" w:rsidP="00D3727A">
      <w:pPr>
        <w:spacing w:after="0" w:line="240" w:lineRule="auto"/>
        <w:jc w:val="both"/>
        <w:rPr>
          <w:rFonts w:ascii="Arial" w:hAnsi="Arial" w:cs="Arial"/>
        </w:rPr>
      </w:pPr>
      <w:r w:rsidRPr="00D3727A">
        <w:rPr>
          <w:rFonts w:ascii="Arial" w:hAnsi="Arial" w:cs="Arial"/>
          <w:b/>
        </w:rPr>
        <w:t xml:space="preserve">Trends </w:t>
      </w:r>
      <w:r w:rsidR="00D3727A">
        <w:rPr>
          <w:rFonts w:ascii="Arial" w:hAnsi="Arial" w:cs="Arial"/>
          <w:b/>
        </w:rPr>
        <w:t>and</w:t>
      </w:r>
      <w:r w:rsidRPr="00D3727A">
        <w:rPr>
          <w:rFonts w:ascii="Arial" w:hAnsi="Arial" w:cs="Arial"/>
          <w:b/>
        </w:rPr>
        <w:t xml:space="preserve"> figures </w:t>
      </w:r>
    </w:p>
    <w:p w:rsidR="00261A40" w:rsidRDefault="00261A40" w:rsidP="00D3727A">
      <w:pPr>
        <w:jc w:val="both"/>
        <w:rPr>
          <w:rFonts w:ascii="Arial" w:hAnsi="Arial" w:cs="Arial"/>
          <w:b/>
          <w:i/>
        </w:rPr>
      </w:pPr>
    </w:p>
    <w:p w:rsidR="00252FFB" w:rsidRPr="00D3727A" w:rsidRDefault="00252FFB" w:rsidP="00D3727A">
      <w:pPr>
        <w:jc w:val="both"/>
        <w:rPr>
          <w:rFonts w:ascii="Arial" w:hAnsi="Arial" w:cs="Arial"/>
          <w:b/>
        </w:rPr>
      </w:pPr>
      <w:r w:rsidRPr="00D3727A">
        <w:rPr>
          <w:rFonts w:ascii="Arial" w:hAnsi="Arial" w:cs="Arial"/>
          <w:b/>
          <w:i/>
        </w:rPr>
        <w:t>Complaints by category from volunteers, donors and supporters about Oxfam’s Trading activity, 2013-17.</w:t>
      </w:r>
    </w:p>
    <w:tbl>
      <w:tblPr>
        <w:tblStyle w:val="TableGrid"/>
        <w:tblW w:w="0" w:type="auto"/>
        <w:tblInd w:w="108" w:type="dxa"/>
        <w:tblLook w:val="04A0"/>
      </w:tblPr>
      <w:tblGrid>
        <w:gridCol w:w="3402"/>
        <w:gridCol w:w="1134"/>
        <w:gridCol w:w="1134"/>
        <w:gridCol w:w="1134"/>
        <w:gridCol w:w="1134"/>
      </w:tblGrid>
      <w:tr w:rsidR="003711D5" w:rsidRPr="00252FFB" w:rsidTr="003711D5">
        <w:tc>
          <w:tcPr>
            <w:tcW w:w="3402" w:type="dxa"/>
          </w:tcPr>
          <w:p w:rsidR="003711D5" w:rsidRPr="00252FFB" w:rsidRDefault="003711D5" w:rsidP="00D3727A">
            <w:pPr>
              <w:pStyle w:val="ListParagraph"/>
              <w:ind w:left="0"/>
              <w:jc w:val="both"/>
              <w:rPr>
                <w:rFonts w:ascii="Arial" w:hAnsi="Arial" w:cs="Arial"/>
                <w:b/>
              </w:rPr>
            </w:pPr>
            <w:r w:rsidRPr="00252FFB">
              <w:rPr>
                <w:rFonts w:ascii="Arial" w:hAnsi="Arial" w:cs="Arial"/>
                <w:b/>
              </w:rPr>
              <w:t xml:space="preserve">Trading Complaints </w:t>
            </w:r>
          </w:p>
        </w:tc>
        <w:tc>
          <w:tcPr>
            <w:tcW w:w="1134" w:type="dxa"/>
          </w:tcPr>
          <w:p w:rsidR="003711D5" w:rsidRPr="00252FFB" w:rsidRDefault="003711D5" w:rsidP="00252FFB">
            <w:pPr>
              <w:pStyle w:val="ListParagraph"/>
              <w:ind w:left="0"/>
              <w:jc w:val="both"/>
              <w:rPr>
                <w:rFonts w:ascii="Arial" w:hAnsi="Arial" w:cs="Arial"/>
                <w:b/>
              </w:rPr>
            </w:pPr>
            <w:r w:rsidRPr="00252FFB">
              <w:rPr>
                <w:rFonts w:ascii="Arial" w:hAnsi="Arial" w:cs="Arial"/>
                <w:b/>
              </w:rPr>
              <w:t>2013-14</w:t>
            </w:r>
          </w:p>
        </w:tc>
        <w:tc>
          <w:tcPr>
            <w:tcW w:w="1134" w:type="dxa"/>
          </w:tcPr>
          <w:p w:rsidR="003711D5" w:rsidRPr="00252FFB" w:rsidRDefault="003711D5" w:rsidP="00252FFB">
            <w:pPr>
              <w:pStyle w:val="ListParagraph"/>
              <w:ind w:left="0"/>
              <w:jc w:val="both"/>
              <w:rPr>
                <w:rFonts w:ascii="Arial" w:hAnsi="Arial" w:cs="Arial"/>
                <w:b/>
              </w:rPr>
            </w:pPr>
            <w:r w:rsidRPr="00252FFB">
              <w:rPr>
                <w:rFonts w:ascii="Arial" w:hAnsi="Arial" w:cs="Arial"/>
                <w:b/>
              </w:rPr>
              <w:t>2014-15</w:t>
            </w:r>
          </w:p>
        </w:tc>
        <w:tc>
          <w:tcPr>
            <w:tcW w:w="1134" w:type="dxa"/>
          </w:tcPr>
          <w:p w:rsidR="003711D5" w:rsidRPr="00252FFB" w:rsidRDefault="003711D5" w:rsidP="00252FFB">
            <w:pPr>
              <w:pStyle w:val="ListParagraph"/>
              <w:ind w:left="0"/>
              <w:jc w:val="both"/>
              <w:rPr>
                <w:rFonts w:ascii="Arial" w:hAnsi="Arial" w:cs="Arial"/>
                <w:b/>
              </w:rPr>
            </w:pPr>
            <w:r w:rsidRPr="00252FFB">
              <w:rPr>
                <w:rFonts w:ascii="Arial" w:hAnsi="Arial" w:cs="Arial"/>
                <w:b/>
              </w:rPr>
              <w:t>2015-16</w:t>
            </w:r>
          </w:p>
        </w:tc>
        <w:tc>
          <w:tcPr>
            <w:tcW w:w="1134" w:type="dxa"/>
          </w:tcPr>
          <w:p w:rsidR="003711D5" w:rsidRPr="00252FFB" w:rsidRDefault="003711D5" w:rsidP="00252FFB">
            <w:pPr>
              <w:pStyle w:val="ListParagraph"/>
              <w:ind w:left="0"/>
              <w:jc w:val="both"/>
              <w:rPr>
                <w:rFonts w:ascii="Arial" w:hAnsi="Arial" w:cs="Arial"/>
                <w:b/>
              </w:rPr>
            </w:pPr>
            <w:r w:rsidRPr="00252FFB">
              <w:rPr>
                <w:rFonts w:ascii="Arial" w:hAnsi="Arial" w:cs="Arial"/>
                <w:b/>
              </w:rPr>
              <w:t>2016-17</w:t>
            </w:r>
          </w:p>
        </w:tc>
      </w:tr>
      <w:tr w:rsidR="003711D5" w:rsidRPr="00252FFB" w:rsidTr="003711D5">
        <w:tc>
          <w:tcPr>
            <w:tcW w:w="3402" w:type="dxa"/>
          </w:tcPr>
          <w:p w:rsidR="003711D5" w:rsidRPr="00252FFB" w:rsidRDefault="003711D5" w:rsidP="00252FFB">
            <w:pPr>
              <w:pStyle w:val="ListParagraph"/>
              <w:ind w:left="0"/>
              <w:jc w:val="both"/>
              <w:rPr>
                <w:rFonts w:ascii="Arial" w:hAnsi="Arial" w:cs="Arial"/>
              </w:rPr>
            </w:pPr>
            <w:r w:rsidRPr="00252FFB">
              <w:rPr>
                <w:rFonts w:ascii="Arial" w:hAnsi="Arial" w:cs="Arial"/>
              </w:rPr>
              <w:t>Customer Service</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227</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187</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223</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263</w:t>
            </w:r>
          </w:p>
        </w:tc>
      </w:tr>
      <w:tr w:rsidR="003711D5" w:rsidRPr="00252FFB" w:rsidTr="003711D5">
        <w:tc>
          <w:tcPr>
            <w:tcW w:w="3402" w:type="dxa"/>
          </w:tcPr>
          <w:p w:rsidR="003711D5" w:rsidRPr="00252FFB" w:rsidRDefault="003711D5" w:rsidP="00252FFB">
            <w:pPr>
              <w:pStyle w:val="ListParagraph"/>
              <w:ind w:left="0"/>
              <w:jc w:val="both"/>
              <w:rPr>
                <w:rFonts w:ascii="Arial" w:hAnsi="Arial" w:cs="Arial"/>
              </w:rPr>
            </w:pPr>
            <w:r w:rsidRPr="00252FFB">
              <w:rPr>
                <w:rFonts w:ascii="Arial" w:hAnsi="Arial" w:cs="Arial"/>
              </w:rPr>
              <w:t>Other Complaints</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79</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67</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42</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26</w:t>
            </w:r>
          </w:p>
        </w:tc>
      </w:tr>
      <w:tr w:rsidR="003711D5" w:rsidRPr="00252FFB" w:rsidTr="003711D5">
        <w:tc>
          <w:tcPr>
            <w:tcW w:w="3402" w:type="dxa"/>
          </w:tcPr>
          <w:p w:rsidR="003711D5" w:rsidRPr="00252FFB" w:rsidRDefault="003711D5" w:rsidP="00252FFB">
            <w:pPr>
              <w:pStyle w:val="ListParagraph"/>
              <w:ind w:left="0"/>
              <w:jc w:val="both"/>
              <w:rPr>
                <w:rFonts w:ascii="Arial" w:hAnsi="Arial" w:cs="Arial"/>
              </w:rPr>
            </w:pPr>
            <w:r w:rsidRPr="00252FFB">
              <w:rPr>
                <w:rFonts w:ascii="Arial" w:hAnsi="Arial" w:cs="Arial"/>
              </w:rPr>
              <w:t>Policy/Quality</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98</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56</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32</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29</w:t>
            </w:r>
          </w:p>
        </w:tc>
      </w:tr>
      <w:tr w:rsidR="003711D5" w:rsidRPr="00252FFB" w:rsidTr="003711D5">
        <w:tc>
          <w:tcPr>
            <w:tcW w:w="3402" w:type="dxa"/>
          </w:tcPr>
          <w:p w:rsidR="003711D5" w:rsidRPr="00252FFB" w:rsidRDefault="003711D5" w:rsidP="00252FFB">
            <w:pPr>
              <w:pStyle w:val="ListParagraph"/>
              <w:ind w:left="0"/>
              <w:jc w:val="both"/>
              <w:rPr>
                <w:rFonts w:ascii="Arial" w:hAnsi="Arial" w:cs="Arial"/>
              </w:rPr>
            </w:pPr>
            <w:r w:rsidRPr="00252FFB">
              <w:rPr>
                <w:rFonts w:ascii="Arial" w:hAnsi="Arial" w:cs="Arial"/>
              </w:rPr>
              <w:t>Refund/Exchange</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46</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45</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28</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35</w:t>
            </w:r>
          </w:p>
        </w:tc>
      </w:tr>
      <w:tr w:rsidR="003711D5" w:rsidRPr="00252FFB" w:rsidTr="003711D5">
        <w:tc>
          <w:tcPr>
            <w:tcW w:w="3402" w:type="dxa"/>
          </w:tcPr>
          <w:p w:rsidR="003711D5" w:rsidRPr="00252FFB" w:rsidRDefault="003711D5" w:rsidP="00252FFB">
            <w:pPr>
              <w:pStyle w:val="ListParagraph"/>
              <w:ind w:left="0"/>
              <w:jc w:val="both"/>
              <w:rPr>
                <w:rFonts w:ascii="Arial" w:hAnsi="Arial" w:cs="Arial"/>
              </w:rPr>
            </w:pPr>
            <w:r w:rsidRPr="00252FFB">
              <w:rPr>
                <w:rFonts w:ascii="Arial" w:hAnsi="Arial" w:cs="Arial"/>
              </w:rPr>
              <w:t>Donation</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34</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26</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22</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19</w:t>
            </w:r>
          </w:p>
        </w:tc>
      </w:tr>
      <w:tr w:rsidR="003711D5" w:rsidRPr="00252FFB" w:rsidTr="003711D5">
        <w:tc>
          <w:tcPr>
            <w:tcW w:w="3402" w:type="dxa"/>
          </w:tcPr>
          <w:p w:rsidR="003711D5" w:rsidRPr="00252FFB" w:rsidRDefault="003711D5" w:rsidP="00252FFB">
            <w:pPr>
              <w:pStyle w:val="ListParagraph"/>
              <w:ind w:left="0"/>
              <w:jc w:val="both"/>
              <w:rPr>
                <w:rFonts w:ascii="Arial" w:hAnsi="Arial" w:cs="Arial"/>
              </w:rPr>
            </w:pPr>
            <w:r w:rsidRPr="00252FFB">
              <w:rPr>
                <w:rFonts w:ascii="Arial" w:hAnsi="Arial" w:cs="Arial"/>
              </w:rPr>
              <w:t>Pricing</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29</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25</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18</w:t>
            </w:r>
          </w:p>
        </w:tc>
        <w:tc>
          <w:tcPr>
            <w:tcW w:w="1134" w:type="dxa"/>
          </w:tcPr>
          <w:p w:rsidR="003711D5" w:rsidRPr="00252FFB" w:rsidRDefault="003711D5" w:rsidP="00252FFB">
            <w:pPr>
              <w:pStyle w:val="ListParagraph"/>
              <w:ind w:left="0"/>
              <w:jc w:val="both"/>
              <w:rPr>
                <w:rFonts w:ascii="Arial" w:hAnsi="Arial" w:cs="Arial"/>
              </w:rPr>
            </w:pPr>
            <w:r w:rsidRPr="00252FFB">
              <w:rPr>
                <w:rFonts w:ascii="Arial" w:hAnsi="Arial" w:cs="Arial"/>
              </w:rPr>
              <w:t>16</w:t>
            </w:r>
          </w:p>
        </w:tc>
      </w:tr>
      <w:tr w:rsidR="003711D5" w:rsidRPr="00252FFB" w:rsidTr="003711D5">
        <w:tc>
          <w:tcPr>
            <w:tcW w:w="3402" w:type="dxa"/>
            <w:shd w:val="clear" w:color="auto" w:fill="FFFF00"/>
          </w:tcPr>
          <w:p w:rsidR="003711D5" w:rsidRPr="00252FFB" w:rsidRDefault="003711D5" w:rsidP="00252FFB">
            <w:pPr>
              <w:pStyle w:val="ListParagraph"/>
              <w:ind w:left="0"/>
              <w:jc w:val="both"/>
              <w:rPr>
                <w:rFonts w:ascii="Arial" w:hAnsi="Arial" w:cs="Arial"/>
                <w:b/>
              </w:rPr>
            </w:pPr>
            <w:r w:rsidRPr="00252FFB">
              <w:rPr>
                <w:rFonts w:ascii="Arial" w:hAnsi="Arial" w:cs="Arial"/>
                <w:b/>
              </w:rPr>
              <w:t>TOTAL</w:t>
            </w:r>
          </w:p>
        </w:tc>
        <w:tc>
          <w:tcPr>
            <w:tcW w:w="1134" w:type="dxa"/>
            <w:shd w:val="clear" w:color="auto" w:fill="FFFF00"/>
          </w:tcPr>
          <w:p w:rsidR="003711D5" w:rsidRPr="00252FFB" w:rsidRDefault="003711D5" w:rsidP="00252FFB">
            <w:pPr>
              <w:pStyle w:val="ListParagraph"/>
              <w:ind w:left="0"/>
              <w:jc w:val="both"/>
              <w:rPr>
                <w:rFonts w:ascii="Arial" w:hAnsi="Arial" w:cs="Arial"/>
                <w:b/>
              </w:rPr>
            </w:pPr>
            <w:r w:rsidRPr="00252FFB">
              <w:rPr>
                <w:rFonts w:ascii="Arial" w:hAnsi="Arial" w:cs="Arial"/>
                <w:b/>
              </w:rPr>
              <w:t>513</w:t>
            </w:r>
          </w:p>
        </w:tc>
        <w:tc>
          <w:tcPr>
            <w:tcW w:w="1134" w:type="dxa"/>
            <w:shd w:val="clear" w:color="auto" w:fill="FFFF00"/>
          </w:tcPr>
          <w:p w:rsidR="003711D5" w:rsidRPr="00252FFB" w:rsidRDefault="003711D5" w:rsidP="00252FFB">
            <w:pPr>
              <w:pStyle w:val="ListParagraph"/>
              <w:ind w:left="0"/>
              <w:jc w:val="both"/>
              <w:rPr>
                <w:rFonts w:ascii="Arial" w:hAnsi="Arial" w:cs="Arial"/>
                <w:b/>
              </w:rPr>
            </w:pPr>
            <w:r w:rsidRPr="00252FFB">
              <w:rPr>
                <w:rFonts w:ascii="Arial" w:hAnsi="Arial" w:cs="Arial"/>
                <w:b/>
              </w:rPr>
              <w:t>406</w:t>
            </w:r>
          </w:p>
        </w:tc>
        <w:tc>
          <w:tcPr>
            <w:tcW w:w="1134" w:type="dxa"/>
            <w:shd w:val="clear" w:color="auto" w:fill="FFFF00"/>
          </w:tcPr>
          <w:p w:rsidR="003711D5" w:rsidRPr="00252FFB" w:rsidRDefault="003711D5" w:rsidP="00252FFB">
            <w:pPr>
              <w:pStyle w:val="ListParagraph"/>
              <w:ind w:left="0"/>
              <w:jc w:val="both"/>
              <w:rPr>
                <w:rFonts w:ascii="Arial" w:hAnsi="Arial" w:cs="Arial"/>
                <w:b/>
              </w:rPr>
            </w:pPr>
            <w:r w:rsidRPr="00252FFB">
              <w:rPr>
                <w:rFonts w:ascii="Arial" w:hAnsi="Arial" w:cs="Arial"/>
                <w:b/>
              </w:rPr>
              <w:t>365</w:t>
            </w:r>
          </w:p>
        </w:tc>
        <w:tc>
          <w:tcPr>
            <w:tcW w:w="1134" w:type="dxa"/>
            <w:shd w:val="clear" w:color="auto" w:fill="FFFF00"/>
          </w:tcPr>
          <w:p w:rsidR="003711D5" w:rsidRPr="00252FFB" w:rsidRDefault="003711D5" w:rsidP="00252FFB">
            <w:pPr>
              <w:pStyle w:val="ListParagraph"/>
              <w:ind w:left="0"/>
              <w:jc w:val="both"/>
              <w:rPr>
                <w:rFonts w:ascii="Arial" w:hAnsi="Arial" w:cs="Arial"/>
                <w:b/>
              </w:rPr>
            </w:pPr>
            <w:r w:rsidRPr="00252FFB">
              <w:rPr>
                <w:rFonts w:ascii="Arial" w:hAnsi="Arial" w:cs="Arial"/>
                <w:b/>
              </w:rPr>
              <w:t>388</w:t>
            </w:r>
          </w:p>
        </w:tc>
      </w:tr>
    </w:tbl>
    <w:p w:rsidR="00252FFB" w:rsidRPr="00252FFB" w:rsidRDefault="00252FFB" w:rsidP="00252FFB">
      <w:pPr>
        <w:pStyle w:val="ListParagraph"/>
        <w:ind w:left="360"/>
        <w:jc w:val="both"/>
        <w:rPr>
          <w:rFonts w:ascii="Arial" w:hAnsi="Arial" w:cs="Arial"/>
          <w:b/>
        </w:rPr>
      </w:pPr>
    </w:p>
    <w:p w:rsidR="00252FFB" w:rsidRPr="00252FFB" w:rsidRDefault="00252FFB" w:rsidP="00252FFB">
      <w:pPr>
        <w:jc w:val="both"/>
        <w:rPr>
          <w:rFonts w:ascii="Arial" w:hAnsi="Arial" w:cs="Arial"/>
        </w:rPr>
      </w:pPr>
      <w:r w:rsidRPr="00252FFB">
        <w:rPr>
          <w:rFonts w:ascii="Arial" w:hAnsi="Arial" w:cs="Arial"/>
        </w:rPr>
        <w:t xml:space="preserve">One of our key indicators </w:t>
      </w:r>
      <w:r w:rsidR="00473D17">
        <w:rPr>
          <w:rFonts w:ascii="Arial" w:hAnsi="Arial" w:cs="Arial"/>
        </w:rPr>
        <w:t>in 2016-17 was</w:t>
      </w:r>
      <w:r w:rsidRPr="00252FFB">
        <w:rPr>
          <w:rFonts w:ascii="Arial" w:hAnsi="Arial" w:cs="Arial"/>
        </w:rPr>
        <w:t xml:space="preserve"> to </w:t>
      </w:r>
      <w:r w:rsidR="00473D17">
        <w:rPr>
          <w:rFonts w:ascii="Arial" w:hAnsi="Arial" w:cs="Arial"/>
        </w:rPr>
        <w:t>resolve</w:t>
      </w:r>
      <w:r w:rsidRPr="00252FFB">
        <w:rPr>
          <w:rFonts w:ascii="Arial" w:hAnsi="Arial" w:cs="Arial"/>
        </w:rPr>
        <w:t xml:space="preserve"> complaints within 14 days of initially receiving them.  On average Trading complaints took 16 days to resolve.  This is a significant increase on 2015-2016 when it took an average of 13 days. However the figures have been skewed by 3 complaints that took more than 200 days to resolve.  Taking these out the average would have been 14 days.  </w:t>
      </w:r>
    </w:p>
    <w:p w:rsidR="00252FFB" w:rsidRPr="00252FFB" w:rsidRDefault="00252FFB" w:rsidP="00252FFB">
      <w:pPr>
        <w:jc w:val="both"/>
        <w:rPr>
          <w:rFonts w:ascii="Arial" w:hAnsi="Arial" w:cs="Arial"/>
        </w:rPr>
      </w:pPr>
      <w:r w:rsidRPr="00252FFB">
        <w:rPr>
          <w:rFonts w:ascii="Arial" w:hAnsi="Arial" w:cs="Arial"/>
        </w:rPr>
        <w:t xml:space="preserve">38% of complaints took longer than the allotted 14 days to resolve. This is up on the 37% reported in 2015-2016 and the 33% in 2014-2015. </w:t>
      </w:r>
      <w:r w:rsidR="00473D17">
        <w:rPr>
          <w:rFonts w:ascii="Arial" w:hAnsi="Arial" w:cs="Arial"/>
        </w:rPr>
        <w:t>On the other hand, t</w:t>
      </w:r>
      <w:r w:rsidRPr="00252FFB">
        <w:rPr>
          <w:rFonts w:ascii="Arial" w:hAnsi="Arial" w:cs="Arial"/>
          <w:color w:val="000000"/>
          <w:lang w:eastAsia="en-GB"/>
        </w:rPr>
        <w:t xml:space="preserve">he number </w:t>
      </w:r>
      <w:r w:rsidR="00261A40" w:rsidRPr="00252FFB">
        <w:rPr>
          <w:rFonts w:ascii="Arial" w:hAnsi="Arial" w:cs="Arial"/>
          <w:color w:val="000000"/>
          <w:lang w:eastAsia="en-GB"/>
        </w:rPr>
        <w:t>is down</w:t>
      </w:r>
      <w:r w:rsidRPr="00252FFB">
        <w:rPr>
          <w:rFonts w:ascii="Arial" w:hAnsi="Arial" w:cs="Arial"/>
          <w:color w:val="000000"/>
          <w:lang w:eastAsia="en-GB"/>
        </w:rPr>
        <w:t xml:space="preserve"> significantly from a half year high of 43.</w:t>
      </w:r>
    </w:p>
    <w:p w:rsidR="00252FFB" w:rsidRPr="00252FFB" w:rsidRDefault="00252FFB" w:rsidP="00252FFB">
      <w:pPr>
        <w:jc w:val="both"/>
        <w:rPr>
          <w:rFonts w:ascii="Arial" w:hAnsi="Arial" w:cs="Arial"/>
        </w:rPr>
      </w:pPr>
      <w:r w:rsidRPr="00252FFB">
        <w:rPr>
          <w:rFonts w:ascii="Arial" w:hAnsi="Arial" w:cs="Arial"/>
        </w:rPr>
        <w:t xml:space="preserve">Poor customer service is as in all previous years the primary cause of dissatisfaction.  This year it has continued to increase and is now 67% </w:t>
      </w:r>
      <w:r w:rsidR="00473D17">
        <w:rPr>
          <w:rFonts w:ascii="Arial" w:hAnsi="Arial" w:cs="Arial"/>
        </w:rPr>
        <w:t xml:space="preserve">of all complaints, </w:t>
      </w:r>
      <w:r w:rsidRPr="00252FFB">
        <w:rPr>
          <w:rFonts w:ascii="Arial" w:hAnsi="Arial" w:cs="Arial"/>
        </w:rPr>
        <w:t xml:space="preserve">compared to 61% last year which in itself was significantly higher than in any of the past 5 years where it has tended to be nearer 40%.  </w:t>
      </w:r>
    </w:p>
    <w:p w:rsidR="00252FFB" w:rsidRPr="00252FFB" w:rsidRDefault="00252FFB" w:rsidP="00252FFB">
      <w:pPr>
        <w:jc w:val="both"/>
        <w:rPr>
          <w:rFonts w:ascii="Arial" w:hAnsi="Arial" w:cs="Arial"/>
        </w:rPr>
      </w:pPr>
      <w:r w:rsidRPr="00252FFB">
        <w:rPr>
          <w:rFonts w:ascii="Arial" w:hAnsi="Arial" w:cs="Arial"/>
        </w:rPr>
        <w:t>All other categories of complaints remain very small in number and while movement year on year in some cases looks high in percentage terms</w:t>
      </w:r>
      <w:r w:rsidR="00A55A74">
        <w:rPr>
          <w:rFonts w:ascii="Arial" w:hAnsi="Arial" w:cs="Arial"/>
        </w:rPr>
        <w:t>,</w:t>
      </w:r>
      <w:r w:rsidRPr="00252FFB">
        <w:rPr>
          <w:rFonts w:ascii="Arial" w:hAnsi="Arial" w:cs="Arial"/>
        </w:rPr>
        <w:t xml:space="preserve"> they are numerically in single figures</w:t>
      </w:r>
      <w:r w:rsidR="00A55A74">
        <w:rPr>
          <w:rFonts w:ascii="Arial" w:hAnsi="Arial" w:cs="Arial"/>
        </w:rPr>
        <w:t xml:space="preserve"> and are not considered statistically significant</w:t>
      </w:r>
      <w:r w:rsidRPr="00252FFB">
        <w:rPr>
          <w:rFonts w:ascii="Arial" w:hAnsi="Arial" w:cs="Arial"/>
        </w:rPr>
        <w:t>.</w:t>
      </w:r>
    </w:p>
    <w:p w:rsidR="009D0D7E" w:rsidRDefault="009D0D7E" w:rsidP="00D3727A">
      <w:pPr>
        <w:spacing w:after="0" w:line="240" w:lineRule="auto"/>
        <w:jc w:val="both"/>
        <w:rPr>
          <w:rFonts w:ascii="Arial" w:hAnsi="Arial" w:cs="Arial"/>
          <w:b/>
        </w:rPr>
      </w:pPr>
    </w:p>
    <w:p w:rsidR="00252FFB" w:rsidRDefault="00252FFB" w:rsidP="00D3727A">
      <w:pPr>
        <w:spacing w:after="0" w:line="240" w:lineRule="auto"/>
        <w:jc w:val="both"/>
        <w:rPr>
          <w:rFonts w:ascii="Arial" w:hAnsi="Arial" w:cs="Arial"/>
          <w:b/>
        </w:rPr>
      </w:pPr>
      <w:proofErr w:type="spellStart"/>
      <w:r w:rsidRPr="00D3727A">
        <w:rPr>
          <w:rFonts w:ascii="Arial" w:hAnsi="Arial" w:cs="Arial"/>
          <w:b/>
        </w:rPr>
        <w:t>Learning</w:t>
      </w:r>
      <w:r w:rsidR="003D10C4">
        <w:rPr>
          <w:rFonts w:ascii="Arial" w:hAnsi="Arial" w:cs="Arial"/>
          <w:b/>
        </w:rPr>
        <w:t>s</w:t>
      </w:r>
      <w:proofErr w:type="spellEnd"/>
      <w:r w:rsidR="003D10C4">
        <w:rPr>
          <w:rFonts w:ascii="Arial" w:hAnsi="Arial" w:cs="Arial"/>
          <w:b/>
        </w:rPr>
        <w:t xml:space="preserve"> 2016-17</w:t>
      </w:r>
      <w:r w:rsidRPr="00D3727A">
        <w:rPr>
          <w:rFonts w:ascii="Arial" w:hAnsi="Arial" w:cs="Arial"/>
          <w:b/>
        </w:rPr>
        <w:t xml:space="preserve"> </w:t>
      </w:r>
    </w:p>
    <w:p w:rsidR="009D0D7E" w:rsidRPr="00D3727A" w:rsidRDefault="009D0D7E" w:rsidP="00D3727A">
      <w:pPr>
        <w:spacing w:after="0" w:line="240" w:lineRule="auto"/>
        <w:jc w:val="both"/>
        <w:rPr>
          <w:rFonts w:ascii="Arial" w:hAnsi="Arial" w:cs="Arial"/>
        </w:rPr>
      </w:pPr>
    </w:p>
    <w:p w:rsidR="00252FFB" w:rsidRPr="00252FFB" w:rsidRDefault="00252FFB" w:rsidP="00252FFB">
      <w:pPr>
        <w:jc w:val="both"/>
        <w:rPr>
          <w:rFonts w:ascii="Arial" w:hAnsi="Arial" w:cs="Arial"/>
        </w:rPr>
      </w:pPr>
      <w:r w:rsidRPr="00252FFB">
        <w:rPr>
          <w:rFonts w:ascii="Arial" w:hAnsi="Arial" w:cs="Arial"/>
        </w:rPr>
        <w:t xml:space="preserve">Reassuringly the volume of complaints remains low, representing significantly less than </w:t>
      </w:r>
      <w:r w:rsidR="00473D17">
        <w:rPr>
          <w:rFonts w:ascii="Arial" w:hAnsi="Arial" w:cs="Arial"/>
        </w:rPr>
        <w:t>one</w:t>
      </w:r>
      <w:r w:rsidRPr="00252FFB">
        <w:rPr>
          <w:rFonts w:ascii="Arial" w:hAnsi="Arial" w:cs="Arial"/>
        </w:rPr>
        <w:t xml:space="preserve"> complaint per shop for the Financial Year. </w:t>
      </w:r>
    </w:p>
    <w:p w:rsidR="009D0D7E" w:rsidRDefault="00252FFB">
      <w:pPr>
        <w:rPr>
          <w:rFonts w:ascii="Arial" w:hAnsi="Arial" w:cs="Arial"/>
        </w:rPr>
      </w:pPr>
      <w:r w:rsidRPr="00252FFB">
        <w:rPr>
          <w:rFonts w:ascii="Arial" w:hAnsi="Arial" w:cs="Arial"/>
        </w:rPr>
        <w:t xml:space="preserve">The percentage taking over 14 days to resolve remains a challenge as it has consistently proved to be in recent years. However it is worth noting that the slight increase in percentage (1%) at the end of the year is actually 5% lower than it was at the half year point. This has been driven by a change in the way that Shop Support manages the process of chasing for replies (started in August) whereby reminders are now sent earlier and before the 14 day deadline is reached.  </w:t>
      </w:r>
    </w:p>
    <w:p w:rsidR="003D10C4" w:rsidRDefault="003D10C4">
      <w:pPr>
        <w:rPr>
          <w:rFonts w:ascii="Arial" w:hAnsi="Arial" w:cs="Arial"/>
          <w:b/>
        </w:rPr>
      </w:pPr>
      <w:r w:rsidRPr="003D10C4">
        <w:rPr>
          <w:rFonts w:ascii="Arial" w:hAnsi="Arial" w:cs="Arial"/>
          <w:b/>
        </w:rPr>
        <w:lastRenderedPageBreak/>
        <w:t>Actions for 2017-18</w:t>
      </w:r>
    </w:p>
    <w:p w:rsidR="003D10C4" w:rsidRPr="009D0D7E" w:rsidRDefault="00E04762" w:rsidP="009D0D7E">
      <w:pPr>
        <w:pStyle w:val="ListParagraph"/>
        <w:numPr>
          <w:ilvl w:val="0"/>
          <w:numId w:val="10"/>
        </w:numPr>
        <w:jc w:val="both"/>
        <w:rPr>
          <w:rFonts w:ascii="Arial" w:hAnsi="Arial" w:cs="Arial"/>
        </w:rPr>
      </w:pPr>
      <w:r w:rsidRPr="009D0D7E">
        <w:rPr>
          <w:rFonts w:ascii="Arial" w:hAnsi="Arial" w:cs="Arial"/>
          <w:color w:val="181818"/>
          <w:w w:val="105"/>
        </w:rPr>
        <w:t xml:space="preserve">Review complaint resolution timescales in </w:t>
      </w:r>
      <w:proofErr w:type="spellStart"/>
      <w:r w:rsidRPr="009D0D7E">
        <w:rPr>
          <w:rFonts w:ascii="Arial" w:hAnsi="Arial" w:cs="Arial"/>
          <w:color w:val="181818"/>
          <w:w w:val="105"/>
        </w:rPr>
        <w:t>Trading’s</w:t>
      </w:r>
      <w:proofErr w:type="spellEnd"/>
      <w:r w:rsidRPr="009D0D7E">
        <w:rPr>
          <w:rFonts w:ascii="Arial" w:hAnsi="Arial" w:cs="Arial"/>
          <w:color w:val="181818"/>
          <w:w w:val="105"/>
        </w:rPr>
        <w:t xml:space="preserve"> complaints handling procedures: after discussion, the Group agreed that, although Trading should continue to aim to resolve disputes within 14 days where possible, they should consider whether</w:t>
      </w:r>
      <w:r w:rsidR="00A55A74" w:rsidRPr="009D0D7E">
        <w:rPr>
          <w:rFonts w:ascii="Arial" w:hAnsi="Arial" w:cs="Arial"/>
          <w:color w:val="181818"/>
          <w:w w:val="105"/>
        </w:rPr>
        <w:t xml:space="preserve"> a more appropri</w:t>
      </w:r>
      <w:r w:rsidR="00473D17" w:rsidRPr="009D0D7E">
        <w:rPr>
          <w:rFonts w:ascii="Arial" w:hAnsi="Arial" w:cs="Arial"/>
          <w:color w:val="181818"/>
          <w:w w:val="105"/>
        </w:rPr>
        <w:t>ate measure of success would be for a stated percentage of c</w:t>
      </w:r>
      <w:r w:rsidR="00A55A74" w:rsidRPr="009D0D7E">
        <w:rPr>
          <w:rFonts w:ascii="Arial" w:hAnsi="Arial" w:cs="Arial"/>
          <w:color w:val="181818"/>
          <w:w w:val="105"/>
        </w:rPr>
        <w:t>omplaints to be resolved within</w:t>
      </w:r>
      <w:r w:rsidR="00473D17" w:rsidRPr="009D0D7E">
        <w:rPr>
          <w:rFonts w:ascii="Arial" w:hAnsi="Arial" w:cs="Arial"/>
          <w:color w:val="181818"/>
          <w:w w:val="105"/>
        </w:rPr>
        <w:t>, say,</w:t>
      </w:r>
      <w:r w:rsidR="00A55A74" w:rsidRPr="009D0D7E">
        <w:rPr>
          <w:rFonts w:ascii="Arial" w:hAnsi="Arial" w:cs="Arial"/>
          <w:color w:val="181818"/>
          <w:w w:val="105"/>
        </w:rPr>
        <w:t xml:space="preserve"> 28 days</w:t>
      </w:r>
      <w:r w:rsidRPr="009D0D7E">
        <w:rPr>
          <w:rFonts w:ascii="Arial" w:hAnsi="Arial" w:cs="Arial"/>
          <w:color w:val="181818"/>
          <w:w w:val="105"/>
        </w:rPr>
        <w:t>.</w:t>
      </w:r>
    </w:p>
    <w:p w:rsidR="003D10C4" w:rsidRPr="009D0D7E" w:rsidRDefault="003D10C4" w:rsidP="009D0D7E">
      <w:pPr>
        <w:pStyle w:val="ListParagraph"/>
        <w:numPr>
          <w:ilvl w:val="0"/>
          <w:numId w:val="10"/>
        </w:numPr>
        <w:jc w:val="both"/>
        <w:rPr>
          <w:rFonts w:ascii="Arial" w:hAnsi="Arial" w:cs="Arial"/>
        </w:rPr>
      </w:pPr>
      <w:r w:rsidRPr="009D0D7E">
        <w:rPr>
          <w:rFonts w:ascii="Arial" w:hAnsi="Arial" w:cs="Arial"/>
        </w:rPr>
        <w:t xml:space="preserve">Key to a reduction in the biggest area of complaints (Shop Team) remains targeting customer service in the shops and retail skills training is now scheduled for the latter part of the 2017-18 financial </w:t>
      </w:r>
      <w:proofErr w:type="gramStart"/>
      <w:r w:rsidRPr="009D0D7E">
        <w:rPr>
          <w:rFonts w:ascii="Arial" w:hAnsi="Arial" w:cs="Arial"/>
        </w:rPr>
        <w:t>year</w:t>
      </w:r>
      <w:proofErr w:type="gramEnd"/>
      <w:r w:rsidRPr="009D0D7E">
        <w:rPr>
          <w:rFonts w:ascii="Arial" w:hAnsi="Arial" w:cs="Arial"/>
        </w:rPr>
        <w:t xml:space="preserve"> as part of the Trading Strategy.</w:t>
      </w:r>
    </w:p>
    <w:p w:rsidR="003D10C4" w:rsidRDefault="003D10C4" w:rsidP="009D0D7E">
      <w:pPr>
        <w:pStyle w:val="ListParagraph"/>
        <w:numPr>
          <w:ilvl w:val="0"/>
          <w:numId w:val="10"/>
        </w:numPr>
        <w:jc w:val="both"/>
        <w:rPr>
          <w:rFonts w:ascii="Arial" w:hAnsi="Arial" w:cs="Arial"/>
        </w:rPr>
      </w:pPr>
      <w:r w:rsidRPr="009D0D7E">
        <w:rPr>
          <w:rFonts w:ascii="Arial" w:hAnsi="Arial" w:cs="Arial"/>
        </w:rPr>
        <w:t>Alongside this we will be exploring whether Shop Support can manage (rather than facilitate) any specific categories of complaint, such as those relating to matters of policy, to where possible improve speed of resolution.</w:t>
      </w:r>
    </w:p>
    <w:p w:rsidR="009D0D7E" w:rsidRPr="009D0D7E" w:rsidRDefault="009D0D7E" w:rsidP="009D0D7E">
      <w:pPr>
        <w:pStyle w:val="ListParagraph"/>
        <w:numPr>
          <w:ilvl w:val="0"/>
          <w:numId w:val="10"/>
        </w:numPr>
        <w:jc w:val="both"/>
        <w:rPr>
          <w:rFonts w:ascii="Arial" w:hAnsi="Arial" w:cs="Arial"/>
        </w:rPr>
      </w:pPr>
      <w:r>
        <w:rPr>
          <w:rFonts w:ascii="Arial" w:hAnsi="Arial" w:cs="Arial"/>
        </w:rPr>
        <w:t xml:space="preserve">We will also explore whether any benchmarking data is available from the Charities Retail Association with a view to comparing our performance with peer charities and, where appropriate, entering into a dialogue with them.  This benchmarking, if feasible will then comprise part of </w:t>
      </w:r>
      <w:proofErr w:type="spellStart"/>
      <w:r>
        <w:rPr>
          <w:rFonts w:ascii="Arial" w:hAnsi="Arial" w:cs="Arial"/>
        </w:rPr>
        <w:t>Trading’s</w:t>
      </w:r>
      <w:proofErr w:type="spellEnd"/>
      <w:r>
        <w:rPr>
          <w:rFonts w:ascii="Arial" w:hAnsi="Arial" w:cs="Arial"/>
        </w:rPr>
        <w:t xml:space="preserve"> annual review summary.  </w:t>
      </w:r>
    </w:p>
    <w:p w:rsidR="00252FFB" w:rsidRPr="003D10C4" w:rsidRDefault="00252FFB">
      <w:pPr>
        <w:rPr>
          <w:rFonts w:ascii="Arial" w:hAnsi="Arial" w:cs="Arial"/>
          <w:b/>
        </w:rPr>
      </w:pPr>
      <w:r w:rsidRPr="003D10C4">
        <w:rPr>
          <w:rFonts w:ascii="Arial" w:hAnsi="Arial" w:cs="Arial"/>
          <w:b/>
        </w:rPr>
        <w:br w:type="page"/>
      </w:r>
    </w:p>
    <w:p w:rsidR="00252FFB" w:rsidRPr="00D3727A" w:rsidRDefault="00D3727A" w:rsidP="00252FFB">
      <w:pPr>
        <w:pStyle w:val="Heading1"/>
        <w:rPr>
          <w:rFonts w:ascii="Arial" w:hAnsi="Arial" w:cs="Arial"/>
          <w:sz w:val="22"/>
          <w:szCs w:val="22"/>
        </w:rPr>
      </w:pPr>
      <w:r w:rsidRPr="00D3727A">
        <w:rPr>
          <w:rFonts w:ascii="Arial" w:hAnsi="Arial" w:cs="Arial"/>
          <w:color w:val="auto"/>
          <w:sz w:val="22"/>
          <w:szCs w:val="22"/>
        </w:rPr>
        <w:lastRenderedPageBreak/>
        <w:t>4.</w:t>
      </w:r>
      <w:r w:rsidRPr="00D3727A">
        <w:rPr>
          <w:rFonts w:ascii="Arial" w:hAnsi="Arial" w:cs="Arial"/>
          <w:color w:val="auto"/>
          <w:sz w:val="22"/>
          <w:szCs w:val="22"/>
        </w:rPr>
        <w:tab/>
        <w:t xml:space="preserve">Supporter Relations </w:t>
      </w:r>
      <w:r>
        <w:rPr>
          <w:rFonts w:ascii="Arial" w:hAnsi="Arial" w:cs="Arial"/>
          <w:color w:val="auto"/>
          <w:sz w:val="22"/>
          <w:szCs w:val="22"/>
        </w:rPr>
        <w:t>(including Campaigning</w:t>
      </w:r>
      <w:r w:rsidR="006B0B1D">
        <w:rPr>
          <w:rFonts w:ascii="Arial" w:hAnsi="Arial" w:cs="Arial"/>
          <w:color w:val="auto"/>
          <w:sz w:val="22"/>
          <w:szCs w:val="22"/>
        </w:rPr>
        <w:t xml:space="preserve"> and Policy</w:t>
      </w:r>
      <w:r>
        <w:rPr>
          <w:rFonts w:ascii="Arial" w:hAnsi="Arial" w:cs="Arial"/>
          <w:color w:val="auto"/>
          <w:sz w:val="22"/>
          <w:szCs w:val="22"/>
        </w:rPr>
        <w:t>)</w:t>
      </w:r>
    </w:p>
    <w:p w:rsidR="00252FFB" w:rsidRPr="00E30533" w:rsidRDefault="00252FFB" w:rsidP="00252FFB">
      <w:pPr>
        <w:jc w:val="both"/>
        <w:rPr>
          <w:rFonts w:ascii="Arial" w:hAnsi="Arial" w:cs="Arial"/>
          <w:color w:val="000000"/>
        </w:rPr>
      </w:pPr>
      <w:r w:rsidRPr="00E30533">
        <w:rPr>
          <w:rFonts w:ascii="Arial" w:hAnsi="Arial" w:cs="Arial"/>
        </w:rPr>
        <w:t>In comparison with 2015-16 figures t</w:t>
      </w:r>
      <w:r w:rsidRPr="00E30533">
        <w:rPr>
          <w:rFonts w:ascii="Arial" w:hAnsi="Arial" w:cs="Arial"/>
          <w:color w:val="000000"/>
        </w:rPr>
        <w:t>he overall volume of recorded complaints has decreased significantly</w:t>
      </w:r>
      <w:r>
        <w:rPr>
          <w:rFonts w:ascii="Arial" w:hAnsi="Arial" w:cs="Arial"/>
          <w:color w:val="000000"/>
        </w:rPr>
        <w:t xml:space="preserve"> – down from</w:t>
      </w:r>
      <w:r w:rsidRPr="00E30533">
        <w:rPr>
          <w:rFonts w:ascii="Arial" w:hAnsi="Arial" w:cs="Arial"/>
          <w:color w:val="000000"/>
        </w:rPr>
        <w:t xml:space="preserve"> 2751</w:t>
      </w:r>
      <w:r>
        <w:rPr>
          <w:rFonts w:ascii="Arial" w:hAnsi="Arial" w:cs="Arial"/>
          <w:color w:val="000000"/>
        </w:rPr>
        <w:t xml:space="preserve"> to</w:t>
      </w:r>
      <w:r w:rsidRPr="00E30533">
        <w:rPr>
          <w:rFonts w:ascii="Arial" w:hAnsi="Arial" w:cs="Arial"/>
          <w:color w:val="000000"/>
        </w:rPr>
        <w:t xml:space="preserve"> 1534. This</w:t>
      </w:r>
      <w:r>
        <w:rPr>
          <w:rFonts w:ascii="Arial" w:hAnsi="Arial" w:cs="Arial"/>
          <w:color w:val="000000"/>
        </w:rPr>
        <w:t xml:space="preserve"> continues a downward trend i</w:t>
      </w:r>
      <w:r w:rsidRPr="00E30533">
        <w:rPr>
          <w:rFonts w:ascii="Arial" w:hAnsi="Arial" w:cs="Arial"/>
          <w:color w:val="000000"/>
        </w:rPr>
        <w:t>n overall complaints year on year since 2013</w:t>
      </w:r>
      <w:r>
        <w:rPr>
          <w:rFonts w:ascii="Arial" w:hAnsi="Arial" w:cs="Arial"/>
          <w:color w:val="000000"/>
        </w:rPr>
        <w:t>.</w:t>
      </w:r>
    </w:p>
    <w:p w:rsidR="003D10C4" w:rsidRPr="005665C5" w:rsidRDefault="003D10C4" w:rsidP="003D10C4">
      <w:pPr>
        <w:rPr>
          <w:rFonts w:ascii="Arial" w:hAnsi="Arial" w:cs="Arial"/>
          <w:b/>
        </w:rPr>
      </w:pPr>
      <w:r w:rsidRPr="005665C5">
        <w:rPr>
          <w:rFonts w:ascii="Arial" w:hAnsi="Arial" w:cs="Arial"/>
          <w:b/>
        </w:rPr>
        <w:t xml:space="preserve">About our Complaints </w:t>
      </w:r>
      <w:r w:rsidR="00C23512" w:rsidRPr="005665C5">
        <w:rPr>
          <w:rFonts w:ascii="Arial" w:hAnsi="Arial" w:cs="Arial"/>
          <w:b/>
        </w:rPr>
        <w:t>Handling</w:t>
      </w:r>
      <w:r w:rsidRPr="005665C5">
        <w:rPr>
          <w:rFonts w:ascii="Arial" w:hAnsi="Arial" w:cs="Arial"/>
          <w:b/>
        </w:rPr>
        <w:t xml:space="preserve"> Process</w:t>
      </w:r>
    </w:p>
    <w:p w:rsidR="003D10C4" w:rsidRPr="005665C5" w:rsidRDefault="003D10C4" w:rsidP="003D10C4">
      <w:pPr>
        <w:rPr>
          <w:rFonts w:ascii="Arial" w:hAnsi="Arial" w:cs="Arial"/>
        </w:rPr>
      </w:pPr>
      <w:r>
        <w:rPr>
          <w:rFonts w:ascii="Arial" w:hAnsi="Arial" w:cs="Arial"/>
        </w:rPr>
        <w:t xml:space="preserve">The Supporter Relations </w:t>
      </w:r>
      <w:r w:rsidRPr="005665C5">
        <w:rPr>
          <w:rFonts w:ascii="Arial" w:hAnsi="Arial" w:cs="Arial"/>
        </w:rPr>
        <w:t>complaints handling process is set out in annex</w:t>
      </w:r>
      <w:r>
        <w:rPr>
          <w:rFonts w:ascii="Arial" w:hAnsi="Arial" w:cs="Arial"/>
        </w:rPr>
        <w:t>e</w:t>
      </w:r>
      <w:r w:rsidRPr="005665C5">
        <w:rPr>
          <w:rFonts w:ascii="Arial" w:hAnsi="Arial" w:cs="Arial"/>
        </w:rPr>
        <w:t xml:space="preserve"> </w:t>
      </w:r>
      <w:r>
        <w:rPr>
          <w:rFonts w:ascii="Arial" w:hAnsi="Arial" w:cs="Arial"/>
        </w:rPr>
        <w:t>1</w:t>
      </w:r>
      <w:r w:rsidRPr="005665C5">
        <w:rPr>
          <w:rFonts w:ascii="Arial" w:hAnsi="Arial" w:cs="Arial"/>
        </w:rPr>
        <w:t xml:space="preserve"> to the </w:t>
      </w:r>
      <w:r w:rsidR="00C23512" w:rsidRPr="005665C5">
        <w:rPr>
          <w:rFonts w:ascii="Arial" w:hAnsi="Arial" w:cs="Arial"/>
        </w:rPr>
        <w:t>Complaints</w:t>
      </w:r>
      <w:r w:rsidRPr="005665C5">
        <w:rPr>
          <w:rFonts w:ascii="Arial" w:hAnsi="Arial" w:cs="Arial"/>
        </w:rPr>
        <w:t xml:space="preserve"> Policy and can be summarised as follows:</w:t>
      </w:r>
    </w:p>
    <w:p w:rsidR="00261A40" w:rsidRDefault="00EC2C74" w:rsidP="00261A40">
      <w:pPr>
        <w:pStyle w:val="ListParagraph"/>
        <w:numPr>
          <w:ilvl w:val="0"/>
          <w:numId w:val="11"/>
        </w:numPr>
        <w:jc w:val="both"/>
        <w:rPr>
          <w:rFonts w:ascii="Arial" w:hAnsi="Arial" w:cs="Arial"/>
        </w:rPr>
      </w:pPr>
      <w:r w:rsidRPr="00261A40">
        <w:rPr>
          <w:rFonts w:ascii="Arial" w:hAnsi="Arial" w:cs="Arial"/>
        </w:rPr>
        <w:t xml:space="preserve">Supporter </w:t>
      </w:r>
      <w:r w:rsidR="00134A23" w:rsidRPr="00261A40">
        <w:rPr>
          <w:rFonts w:ascii="Arial" w:hAnsi="Arial" w:cs="Arial"/>
        </w:rPr>
        <w:t>Relations</w:t>
      </w:r>
      <w:r w:rsidRPr="00261A40">
        <w:rPr>
          <w:rFonts w:ascii="Arial" w:hAnsi="Arial" w:cs="Arial"/>
        </w:rPr>
        <w:t xml:space="preserve"> receive all O</w:t>
      </w:r>
      <w:r w:rsidR="00573B1B" w:rsidRPr="00261A40">
        <w:rPr>
          <w:rFonts w:ascii="Arial" w:hAnsi="Arial" w:cs="Arial"/>
        </w:rPr>
        <w:t>GB</w:t>
      </w:r>
      <w:r w:rsidRPr="00261A40">
        <w:rPr>
          <w:rFonts w:ascii="Arial" w:hAnsi="Arial" w:cs="Arial"/>
        </w:rPr>
        <w:t xml:space="preserve"> </w:t>
      </w:r>
      <w:r w:rsidR="00134A23" w:rsidRPr="00261A40">
        <w:rPr>
          <w:rFonts w:ascii="Arial" w:hAnsi="Arial" w:cs="Arial"/>
        </w:rPr>
        <w:t>complaints</w:t>
      </w:r>
      <w:r w:rsidRPr="00261A40">
        <w:rPr>
          <w:rFonts w:ascii="Arial" w:hAnsi="Arial" w:cs="Arial"/>
        </w:rPr>
        <w:t xml:space="preserve"> that do not fall </w:t>
      </w:r>
      <w:r w:rsidR="00134A23" w:rsidRPr="00261A40">
        <w:rPr>
          <w:rFonts w:ascii="Arial" w:hAnsi="Arial" w:cs="Arial"/>
        </w:rPr>
        <w:t>within</w:t>
      </w:r>
      <w:r w:rsidRPr="00261A40">
        <w:rPr>
          <w:rFonts w:ascii="Arial" w:hAnsi="Arial" w:cs="Arial"/>
        </w:rPr>
        <w:t xml:space="preserve"> Programme or Trading</w:t>
      </w:r>
      <w:r w:rsidR="00573B1B" w:rsidRPr="00261A40">
        <w:rPr>
          <w:rFonts w:ascii="Arial" w:hAnsi="Arial" w:cs="Arial"/>
        </w:rPr>
        <w:t xml:space="preserve"> (other than staff grievances or </w:t>
      </w:r>
      <w:proofErr w:type="spellStart"/>
      <w:r w:rsidR="00573B1B" w:rsidRPr="00261A40">
        <w:rPr>
          <w:rFonts w:ascii="Arial" w:hAnsi="Arial" w:cs="Arial"/>
        </w:rPr>
        <w:t>whistleblowing</w:t>
      </w:r>
      <w:proofErr w:type="spellEnd"/>
      <w:r w:rsidR="00573B1B" w:rsidRPr="00261A40">
        <w:rPr>
          <w:rFonts w:ascii="Arial" w:hAnsi="Arial" w:cs="Arial"/>
        </w:rPr>
        <w:t xml:space="preserve"> issues)</w:t>
      </w:r>
      <w:r w:rsidRPr="00261A40">
        <w:rPr>
          <w:rFonts w:ascii="Arial" w:hAnsi="Arial" w:cs="Arial"/>
        </w:rPr>
        <w:t xml:space="preserve">. </w:t>
      </w:r>
    </w:p>
    <w:p w:rsidR="00261A40" w:rsidRDefault="00EC2C74" w:rsidP="00261A40">
      <w:pPr>
        <w:pStyle w:val="ListParagraph"/>
        <w:numPr>
          <w:ilvl w:val="0"/>
          <w:numId w:val="11"/>
        </w:numPr>
        <w:jc w:val="both"/>
        <w:rPr>
          <w:rFonts w:ascii="Arial" w:hAnsi="Arial" w:cs="Arial"/>
        </w:rPr>
      </w:pPr>
      <w:r w:rsidRPr="00261A40">
        <w:rPr>
          <w:rFonts w:ascii="Arial" w:hAnsi="Arial" w:cs="Arial"/>
        </w:rPr>
        <w:t xml:space="preserve">They log, investigate and respond within 14 days of receipt. </w:t>
      </w:r>
    </w:p>
    <w:p w:rsidR="00EC2C74" w:rsidRPr="00261A40" w:rsidRDefault="00134A23" w:rsidP="00261A40">
      <w:pPr>
        <w:pStyle w:val="ListParagraph"/>
        <w:numPr>
          <w:ilvl w:val="0"/>
          <w:numId w:val="11"/>
        </w:numPr>
        <w:jc w:val="both"/>
        <w:rPr>
          <w:rFonts w:ascii="Arial" w:hAnsi="Arial" w:cs="Arial"/>
        </w:rPr>
      </w:pPr>
      <w:r w:rsidRPr="00261A40">
        <w:rPr>
          <w:rFonts w:ascii="Arial" w:hAnsi="Arial" w:cs="Arial"/>
        </w:rPr>
        <w:t xml:space="preserve">Reporting on learning takes place monthly, and will inform all appropriate stakeholders. For Fundraising complaints, this is also included in a quarterly report to </w:t>
      </w:r>
      <w:r w:rsidR="00573B1B" w:rsidRPr="00261A40">
        <w:rPr>
          <w:rFonts w:ascii="Arial" w:hAnsi="Arial" w:cs="Arial"/>
        </w:rPr>
        <w:t>the Fundraising Committee on behalf of Council</w:t>
      </w:r>
      <w:r w:rsidRPr="00261A40">
        <w:rPr>
          <w:rFonts w:ascii="Arial" w:hAnsi="Arial" w:cs="Arial"/>
        </w:rPr>
        <w:t>.</w:t>
      </w:r>
    </w:p>
    <w:p w:rsidR="00D3727A" w:rsidRPr="00D3727A" w:rsidRDefault="00D3727A" w:rsidP="00252FFB">
      <w:pPr>
        <w:jc w:val="both"/>
        <w:rPr>
          <w:rFonts w:ascii="Arial" w:hAnsi="Arial" w:cs="Arial"/>
          <w:b/>
        </w:rPr>
      </w:pPr>
      <w:r w:rsidRPr="00D3727A">
        <w:rPr>
          <w:rFonts w:ascii="Arial" w:hAnsi="Arial" w:cs="Arial"/>
          <w:b/>
        </w:rPr>
        <w:t>Actions and Progress</w:t>
      </w:r>
    </w:p>
    <w:p w:rsidR="00252FFB" w:rsidRDefault="00252FFB" w:rsidP="00252FFB">
      <w:pPr>
        <w:jc w:val="both"/>
        <w:rPr>
          <w:rFonts w:ascii="Arial" w:hAnsi="Arial" w:cs="Arial"/>
        </w:rPr>
      </w:pPr>
      <w:r w:rsidRPr="0045408C">
        <w:rPr>
          <w:rFonts w:ascii="Arial" w:hAnsi="Arial" w:cs="Arial"/>
        </w:rPr>
        <w:t xml:space="preserve">All complaints were </w:t>
      </w:r>
      <w:r>
        <w:rPr>
          <w:rFonts w:ascii="Arial" w:hAnsi="Arial" w:cs="Arial"/>
        </w:rPr>
        <w:t>handled</w:t>
      </w:r>
      <w:r w:rsidRPr="0045408C">
        <w:rPr>
          <w:rFonts w:ascii="Arial" w:hAnsi="Arial" w:cs="Arial"/>
        </w:rPr>
        <w:t xml:space="preserve"> within </w:t>
      </w:r>
      <w:r>
        <w:rPr>
          <w:rFonts w:ascii="Arial" w:hAnsi="Arial" w:cs="Arial"/>
        </w:rPr>
        <w:t xml:space="preserve">14 days of receipt, which is in line with the departmental standard. </w:t>
      </w:r>
      <w:r w:rsidRPr="0045408C">
        <w:rPr>
          <w:rFonts w:ascii="Arial" w:hAnsi="Arial" w:cs="Arial"/>
        </w:rPr>
        <w:t xml:space="preserve">The </w:t>
      </w:r>
      <w:r>
        <w:rPr>
          <w:rFonts w:ascii="Arial" w:hAnsi="Arial" w:cs="Arial"/>
        </w:rPr>
        <w:t xml:space="preserve">overall </w:t>
      </w:r>
      <w:r w:rsidRPr="0045408C">
        <w:rPr>
          <w:rFonts w:ascii="Arial" w:hAnsi="Arial" w:cs="Arial"/>
        </w:rPr>
        <w:t>average</w:t>
      </w:r>
      <w:r>
        <w:rPr>
          <w:rFonts w:ascii="Arial" w:hAnsi="Arial" w:cs="Arial"/>
        </w:rPr>
        <w:t xml:space="preserve"> response</w:t>
      </w:r>
      <w:r w:rsidRPr="0045408C">
        <w:rPr>
          <w:rFonts w:ascii="Arial" w:hAnsi="Arial" w:cs="Arial"/>
        </w:rPr>
        <w:t xml:space="preserve"> time was one working day</w:t>
      </w:r>
      <w:r>
        <w:rPr>
          <w:rFonts w:ascii="Arial" w:hAnsi="Arial" w:cs="Arial"/>
        </w:rPr>
        <w:t>, with most o</w:t>
      </w:r>
      <w:r w:rsidRPr="0045408C">
        <w:rPr>
          <w:rFonts w:ascii="Arial" w:hAnsi="Arial" w:cs="Arial"/>
        </w:rPr>
        <w:t xml:space="preserve">f the complaints requiring standard or fairly straightforward </w:t>
      </w:r>
      <w:proofErr w:type="gramStart"/>
      <w:r w:rsidRPr="0045408C">
        <w:rPr>
          <w:rFonts w:ascii="Arial" w:hAnsi="Arial" w:cs="Arial"/>
        </w:rPr>
        <w:t>responses</w:t>
      </w:r>
      <w:r>
        <w:rPr>
          <w:rFonts w:ascii="Arial" w:hAnsi="Arial" w:cs="Arial"/>
        </w:rPr>
        <w:t>.</w:t>
      </w:r>
      <w:proofErr w:type="gramEnd"/>
      <w:r>
        <w:rPr>
          <w:rFonts w:ascii="Arial" w:hAnsi="Arial" w:cs="Arial"/>
        </w:rPr>
        <w:t xml:space="preserve"> Just</w:t>
      </w:r>
      <w:r w:rsidRPr="0045408C">
        <w:rPr>
          <w:rFonts w:ascii="Arial" w:hAnsi="Arial" w:cs="Arial"/>
        </w:rPr>
        <w:t xml:space="preserve"> </w:t>
      </w:r>
      <w:r>
        <w:rPr>
          <w:rFonts w:ascii="Arial" w:hAnsi="Arial" w:cs="Arial"/>
        </w:rPr>
        <w:t>0.7</w:t>
      </w:r>
      <w:r w:rsidRPr="0045408C">
        <w:rPr>
          <w:rFonts w:ascii="Arial" w:hAnsi="Arial" w:cs="Arial"/>
        </w:rPr>
        <w:t xml:space="preserve">% of complaints </w:t>
      </w:r>
      <w:r>
        <w:rPr>
          <w:rFonts w:ascii="Arial" w:hAnsi="Arial" w:cs="Arial"/>
        </w:rPr>
        <w:t>required more than 4 days to deal with, and t</w:t>
      </w:r>
      <w:r w:rsidRPr="0045408C">
        <w:rPr>
          <w:rFonts w:ascii="Arial" w:hAnsi="Arial" w:cs="Arial"/>
        </w:rPr>
        <w:t>he longest complaint took 1</w:t>
      </w:r>
      <w:r>
        <w:rPr>
          <w:rFonts w:ascii="Arial" w:hAnsi="Arial" w:cs="Arial"/>
        </w:rPr>
        <w:t>3 days. This was</w:t>
      </w:r>
      <w:r w:rsidRPr="0045408C">
        <w:rPr>
          <w:rFonts w:ascii="Arial" w:hAnsi="Arial" w:cs="Arial"/>
        </w:rPr>
        <w:t xml:space="preserve"> due to </w:t>
      </w:r>
      <w:r>
        <w:rPr>
          <w:rFonts w:ascii="Arial" w:hAnsi="Arial" w:cs="Arial"/>
        </w:rPr>
        <w:t>us awaiting further information from the supporter to be able to complete out the investigation.</w:t>
      </w:r>
    </w:p>
    <w:p w:rsidR="00252FFB" w:rsidRDefault="00252FFB" w:rsidP="00252FFB">
      <w:pPr>
        <w:autoSpaceDE w:val="0"/>
        <w:autoSpaceDN w:val="0"/>
        <w:adjustRightInd w:val="0"/>
        <w:jc w:val="both"/>
        <w:rPr>
          <w:rFonts w:ascii="Arial" w:hAnsi="Arial" w:cs="Arial"/>
          <w:color w:val="000000"/>
        </w:rPr>
      </w:pPr>
      <w:r w:rsidRPr="00E30533">
        <w:rPr>
          <w:rFonts w:ascii="Arial" w:hAnsi="Arial" w:cs="Arial"/>
          <w:color w:val="000000"/>
        </w:rPr>
        <w:t xml:space="preserve">Non-fundraising complaints (website issues, campaigns and </w:t>
      </w:r>
      <w:r>
        <w:rPr>
          <w:rFonts w:ascii="Arial" w:hAnsi="Arial" w:cs="Arial"/>
          <w:color w:val="000000"/>
        </w:rPr>
        <w:t>policy complaints</w:t>
      </w:r>
      <w:r w:rsidR="00BD3DCC">
        <w:rPr>
          <w:rFonts w:ascii="Arial" w:hAnsi="Arial" w:cs="Arial"/>
          <w:color w:val="000000"/>
        </w:rPr>
        <w:t>)</w:t>
      </w:r>
      <w:r>
        <w:rPr>
          <w:rFonts w:ascii="Arial" w:hAnsi="Arial" w:cs="Arial"/>
          <w:color w:val="000000"/>
        </w:rPr>
        <w:t>”</w:t>
      </w:r>
      <w:r w:rsidRPr="00E30533">
        <w:rPr>
          <w:rFonts w:ascii="Arial" w:hAnsi="Arial" w:cs="Arial"/>
          <w:color w:val="000000"/>
        </w:rPr>
        <w:t xml:space="preserve">) </w:t>
      </w:r>
      <w:r>
        <w:rPr>
          <w:rFonts w:ascii="Arial" w:hAnsi="Arial" w:cs="Arial"/>
          <w:color w:val="000000"/>
        </w:rPr>
        <w:t xml:space="preserve">historically produced quite significant </w:t>
      </w:r>
      <w:r w:rsidRPr="00E30533">
        <w:rPr>
          <w:rFonts w:ascii="Arial" w:hAnsi="Arial" w:cs="Arial"/>
          <w:color w:val="000000"/>
        </w:rPr>
        <w:t>volumes of complaints, but again the number of complaints has reduced in all of these area</w:t>
      </w:r>
      <w:r>
        <w:rPr>
          <w:rFonts w:ascii="Arial" w:hAnsi="Arial" w:cs="Arial"/>
          <w:color w:val="000000"/>
        </w:rPr>
        <w:t xml:space="preserve">s: “Oxfam </w:t>
      </w:r>
      <w:r w:rsidR="00BD3DCC">
        <w:rPr>
          <w:rFonts w:ascii="Arial" w:hAnsi="Arial" w:cs="Arial"/>
          <w:color w:val="000000"/>
        </w:rPr>
        <w:t>General Policy</w:t>
      </w:r>
      <w:r>
        <w:rPr>
          <w:rFonts w:ascii="Arial" w:hAnsi="Arial" w:cs="Arial"/>
          <w:color w:val="000000"/>
        </w:rPr>
        <w:t xml:space="preserve">” reduced from </w:t>
      </w:r>
      <w:r w:rsidRPr="00E30533">
        <w:rPr>
          <w:rFonts w:ascii="Arial" w:hAnsi="Arial" w:cs="Arial"/>
          <w:color w:val="000000"/>
        </w:rPr>
        <w:t>93</w:t>
      </w:r>
      <w:r>
        <w:rPr>
          <w:rFonts w:ascii="Arial" w:hAnsi="Arial" w:cs="Arial"/>
          <w:color w:val="000000"/>
        </w:rPr>
        <w:t xml:space="preserve"> to</w:t>
      </w:r>
      <w:r w:rsidRPr="00E30533">
        <w:rPr>
          <w:rFonts w:ascii="Arial" w:hAnsi="Arial" w:cs="Arial"/>
          <w:color w:val="000000"/>
        </w:rPr>
        <w:t xml:space="preserve"> 50</w:t>
      </w:r>
      <w:r>
        <w:rPr>
          <w:rFonts w:ascii="Arial" w:hAnsi="Arial" w:cs="Arial"/>
          <w:color w:val="000000"/>
        </w:rPr>
        <w:t>; Campaign</w:t>
      </w:r>
      <w:r w:rsidR="002C6060">
        <w:rPr>
          <w:rFonts w:ascii="Arial" w:hAnsi="Arial" w:cs="Arial"/>
          <w:color w:val="000000"/>
        </w:rPr>
        <w:t>s</w:t>
      </w:r>
      <w:r>
        <w:rPr>
          <w:rFonts w:ascii="Arial" w:hAnsi="Arial" w:cs="Arial"/>
          <w:color w:val="000000"/>
        </w:rPr>
        <w:t xml:space="preserve"> complaints reduced from </w:t>
      </w:r>
      <w:r w:rsidRPr="00E30533">
        <w:rPr>
          <w:rFonts w:ascii="Arial" w:hAnsi="Arial" w:cs="Arial"/>
          <w:color w:val="000000"/>
        </w:rPr>
        <w:t xml:space="preserve">165 </w:t>
      </w:r>
      <w:r>
        <w:rPr>
          <w:rFonts w:ascii="Arial" w:hAnsi="Arial" w:cs="Arial"/>
          <w:color w:val="000000"/>
        </w:rPr>
        <w:t>to</w:t>
      </w:r>
      <w:r w:rsidRPr="00E30533">
        <w:rPr>
          <w:rFonts w:ascii="Arial" w:hAnsi="Arial" w:cs="Arial"/>
          <w:color w:val="000000"/>
        </w:rPr>
        <w:t xml:space="preserve"> 128</w:t>
      </w:r>
      <w:r>
        <w:rPr>
          <w:rFonts w:ascii="Arial" w:hAnsi="Arial" w:cs="Arial"/>
          <w:color w:val="000000"/>
        </w:rPr>
        <w:t>;</w:t>
      </w:r>
      <w:r w:rsidRPr="00E30533">
        <w:rPr>
          <w:rFonts w:ascii="Arial" w:hAnsi="Arial" w:cs="Arial"/>
          <w:color w:val="000000"/>
        </w:rPr>
        <w:t xml:space="preserve"> Website </w:t>
      </w:r>
      <w:r>
        <w:rPr>
          <w:rFonts w:ascii="Arial" w:hAnsi="Arial" w:cs="Arial"/>
          <w:color w:val="000000"/>
        </w:rPr>
        <w:t xml:space="preserve">related </w:t>
      </w:r>
      <w:r w:rsidRPr="00E30533">
        <w:rPr>
          <w:rFonts w:ascii="Arial" w:hAnsi="Arial" w:cs="Arial"/>
          <w:color w:val="000000"/>
        </w:rPr>
        <w:t>complaints</w:t>
      </w:r>
      <w:r>
        <w:rPr>
          <w:rFonts w:ascii="Arial" w:hAnsi="Arial" w:cs="Arial"/>
          <w:color w:val="000000"/>
        </w:rPr>
        <w:t xml:space="preserve"> overall reduced </w:t>
      </w:r>
      <w:r w:rsidRPr="005A3F45">
        <w:rPr>
          <w:rFonts w:ascii="Arial" w:hAnsi="Arial" w:cs="Arial"/>
          <w:color w:val="000000"/>
        </w:rPr>
        <w:t>from 373 to 15</w:t>
      </w:r>
      <w:r w:rsidR="002C6060">
        <w:rPr>
          <w:rFonts w:ascii="Arial" w:hAnsi="Arial" w:cs="Arial"/>
          <w:color w:val="000000"/>
        </w:rPr>
        <w:t>8</w:t>
      </w:r>
      <w:r w:rsidRPr="005A3F45">
        <w:rPr>
          <w:rFonts w:ascii="Arial" w:hAnsi="Arial" w:cs="Arial"/>
          <w:color w:val="000000"/>
        </w:rPr>
        <w:t>.</w:t>
      </w:r>
    </w:p>
    <w:p w:rsidR="00252FFB" w:rsidRDefault="00252FFB" w:rsidP="00252FFB">
      <w:pPr>
        <w:autoSpaceDE w:val="0"/>
        <w:autoSpaceDN w:val="0"/>
        <w:adjustRightInd w:val="0"/>
        <w:jc w:val="both"/>
        <w:rPr>
          <w:rFonts w:ascii="Arial" w:hAnsi="Arial" w:cs="Arial"/>
          <w:color w:val="000000"/>
        </w:rPr>
      </w:pPr>
      <w:r w:rsidRPr="00E30533">
        <w:rPr>
          <w:rFonts w:ascii="Arial" w:hAnsi="Arial" w:cs="Arial"/>
          <w:color w:val="000000"/>
        </w:rPr>
        <w:t xml:space="preserve">On Fundraising complaints, </w:t>
      </w:r>
      <w:r w:rsidR="002F6ED6">
        <w:rPr>
          <w:rFonts w:ascii="Arial" w:hAnsi="Arial" w:cs="Arial"/>
          <w:color w:val="000000"/>
        </w:rPr>
        <w:t xml:space="preserve">whilst we have seen an overall significant reduction from 1714 to 846, </w:t>
      </w:r>
      <w:r w:rsidRPr="00E30533">
        <w:rPr>
          <w:rFonts w:ascii="Arial" w:hAnsi="Arial" w:cs="Arial"/>
          <w:color w:val="000000"/>
        </w:rPr>
        <w:t xml:space="preserve">we have seen </w:t>
      </w:r>
      <w:r>
        <w:rPr>
          <w:rFonts w:ascii="Arial" w:hAnsi="Arial" w:cs="Arial"/>
          <w:color w:val="000000"/>
        </w:rPr>
        <w:t xml:space="preserve">very </w:t>
      </w:r>
      <w:r w:rsidRPr="00E30533">
        <w:rPr>
          <w:rFonts w:ascii="Arial" w:hAnsi="Arial" w:cs="Arial"/>
          <w:color w:val="000000"/>
        </w:rPr>
        <w:t>slight increase</w:t>
      </w:r>
      <w:r>
        <w:rPr>
          <w:rFonts w:ascii="Arial" w:hAnsi="Arial" w:cs="Arial"/>
          <w:color w:val="000000"/>
        </w:rPr>
        <w:t>s in</w:t>
      </w:r>
      <w:r w:rsidRPr="00E30533">
        <w:rPr>
          <w:rFonts w:ascii="Arial" w:hAnsi="Arial" w:cs="Arial"/>
          <w:color w:val="000000"/>
        </w:rPr>
        <w:t xml:space="preserve"> </w:t>
      </w:r>
      <w:r w:rsidR="005929DD">
        <w:rPr>
          <w:rFonts w:ascii="Arial" w:hAnsi="Arial" w:cs="Arial"/>
          <w:color w:val="000000"/>
        </w:rPr>
        <w:t>the following</w:t>
      </w:r>
      <w:r w:rsidR="005929DD" w:rsidRPr="00E30533">
        <w:rPr>
          <w:rFonts w:ascii="Arial" w:hAnsi="Arial" w:cs="Arial"/>
          <w:color w:val="000000"/>
        </w:rPr>
        <w:t xml:space="preserve"> </w:t>
      </w:r>
      <w:r w:rsidRPr="00E30533">
        <w:rPr>
          <w:rFonts w:ascii="Arial" w:hAnsi="Arial" w:cs="Arial"/>
          <w:color w:val="000000"/>
        </w:rPr>
        <w:t>fundraising channels</w:t>
      </w:r>
      <w:r>
        <w:rPr>
          <w:rFonts w:ascii="Arial" w:hAnsi="Arial" w:cs="Arial"/>
          <w:color w:val="000000"/>
        </w:rPr>
        <w:t>:</w:t>
      </w:r>
      <w:r w:rsidRPr="00E30533">
        <w:rPr>
          <w:rFonts w:ascii="Arial" w:hAnsi="Arial" w:cs="Arial"/>
          <w:color w:val="000000"/>
        </w:rPr>
        <w:t xml:space="preserve"> E-marketing</w:t>
      </w:r>
      <w:r w:rsidR="005929DD">
        <w:rPr>
          <w:rFonts w:ascii="Arial" w:hAnsi="Arial" w:cs="Arial"/>
          <w:color w:val="000000"/>
        </w:rPr>
        <w:t xml:space="preserve">, </w:t>
      </w:r>
      <w:r>
        <w:rPr>
          <w:rFonts w:ascii="Arial" w:hAnsi="Arial" w:cs="Arial"/>
          <w:color w:val="000000"/>
        </w:rPr>
        <w:t>Events &amp; Fundraising</w:t>
      </w:r>
      <w:r w:rsidR="005929DD">
        <w:rPr>
          <w:rFonts w:ascii="Arial" w:hAnsi="Arial" w:cs="Arial"/>
          <w:color w:val="000000"/>
        </w:rPr>
        <w:t xml:space="preserve">, </w:t>
      </w:r>
      <w:r w:rsidRPr="00E30533">
        <w:rPr>
          <w:rFonts w:ascii="Arial" w:hAnsi="Arial" w:cs="Arial"/>
          <w:color w:val="000000"/>
        </w:rPr>
        <w:t xml:space="preserve">Supporter Mail </w:t>
      </w:r>
      <w:r w:rsidR="005929DD">
        <w:rPr>
          <w:rFonts w:ascii="Arial" w:hAnsi="Arial" w:cs="Arial"/>
          <w:color w:val="000000"/>
        </w:rPr>
        <w:t xml:space="preserve">and </w:t>
      </w:r>
      <w:r w:rsidRPr="00E30533">
        <w:rPr>
          <w:rFonts w:ascii="Arial" w:hAnsi="Arial" w:cs="Arial"/>
          <w:color w:val="000000"/>
        </w:rPr>
        <w:t>SMS</w:t>
      </w:r>
      <w:proofErr w:type="gramStart"/>
      <w:r w:rsidR="005929DD">
        <w:rPr>
          <w:rFonts w:ascii="Arial" w:hAnsi="Arial" w:cs="Arial"/>
          <w:color w:val="000000"/>
        </w:rPr>
        <w:t>.</w:t>
      </w:r>
      <w:r w:rsidRPr="00E30533">
        <w:rPr>
          <w:rFonts w:ascii="Arial" w:hAnsi="Arial" w:cs="Arial"/>
          <w:color w:val="000000"/>
        </w:rPr>
        <w:t>.</w:t>
      </w:r>
      <w:proofErr w:type="gramEnd"/>
      <w:r w:rsidRPr="00E30533">
        <w:rPr>
          <w:rFonts w:ascii="Arial" w:hAnsi="Arial" w:cs="Arial"/>
          <w:color w:val="000000"/>
        </w:rPr>
        <w:t xml:space="preserve"> However</w:t>
      </w:r>
      <w:r>
        <w:rPr>
          <w:rFonts w:ascii="Arial" w:hAnsi="Arial" w:cs="Arial"/>
          <w:color w:val="000000"/>
        </w:rPr>
        <w:t xml:space="preserve"> in other areas we have seen significant </w:t>
      </w:r>
      <w:r w:rsidRPr="00E30533">
        <w:rPr>
          <w:rFonts w:ascii="Arial" w:hAnsi="Arial" w:cs="Arial"/>
          <w:color w:val="000000"/>
        </w:rPr>
        <w:t>reduction</w:t>
      </w:r>
      <w:r>
        <w:rPr>
          <w:rFonts w:ascii="Arial" w:hAnsi="Arial" w:cs="Arial"/>
          <w:color w:val="000000"/>
        </w:rPr>
        <w:t>s</w:t>
      </w:r>
      <w:r w:rsidRPr="00E30533">
        <w:rPr>
          <w:rFonts w:ascii="Arial" w:hAnsi="Arial" w:cs="Arial"/>
          <w:color w:val="000000"/>
        </w:rPr>
        <w:t xml:space="preserve"> in complaints</w:t>
      </w:r>
      <w:r w:rsidR="005929DD">
        <w:rPr>
          <w:rFonts w:ascii="Arial" w:hAnsi="Arial" w:cs="Arial"/>
          <w:color w:val="000000"/>
        </w:rPr>
        <w:t>, with</w:t>
      </w:r>
      <w:r>
        <w:rPr>
          <w:rFonts w:ascii="Arial" w:hAnsi="Arial" w:cs="Arial"/>
          <w:color w:val="000000"/>
        </w:rPr>
        <w:t xml:space="preserve"> </w:t>
      </w:r>
      <w:r w:rsidRPr="00E30533">
        <w:rPr>
          <w:rFonts w:ascii="Arial" w:hAnsi="Arial" w:cs="Arial"/>
          <w:color w:val="000000"/>
        </w:rPr>
        <w:t>Telemarketing</w:t>
      </w:r>
      <w:r w:rsidR="005929DD">
        <w:rPr>
          <w:rFonts w:ascii="Arial" w:hAnsi="Arial" w:cs="Arial"/>
          <w:color w:val="000000"/>
        </w:rPr>
        <w:t xml:space="preserve"> and</w:t>
      </w:r>
      <w:r>
        <w:rPr>
          <w:rFonts w:ascii="Arial" w:hAnsi="Arial" w:cs="Arial"/>
          <w:color w:val="000000"/>
        </w:rPr>
        <w:t xml:space="preserve"> Street Fundraising </w:t>
      </w:r>
      <w:r w:rsidR="005929DD">
        <w:rPr>
          <w:rFonts w:ascii="Arial" w:hAnsi="Arial" w:cs="Arial"/>
          <w:color w:val="000000"/>
        </w:rPr>
        <w:t>both lower than previously.</w:t>
      </w:r>
      <w:r w:rsidR="00F8604C">
        <w:rPr>
          <w:rFonts w:ascii="Arial" w:hAnsi="Arial" w:cs="Arial"/>
          <w:color w:val="000000"/>
        </w:rPr>
        <w:t xml:space="preserve"> </w:t>
      </w:r>
      <w:r w:rsidRPr="00E30533">
        <w:rPr>
          <w:rFonts w:ascii="Arial" w:hAnsi="Arial" w:cs="Arial"/>
          <w:color w:val="000000"/>
        </w:rPr>
        <w:t xml:space="preserve"> Other areas of</w:t>
      </w:r>
      <w:r>
        <w:rPr>
          <w:rFonts w:ascii="Arial" w:hAnsi="Arial" w:cs="Arial"/>
          <w:color w:val="000000"/>
        </w:rPr>
        <w:t xml:space="preserve"> success include significant reductions in website issues, and a reduction in a</w:t>
      </w:r>
      <w:r w:rsidRPr="00E30533">
        <w:rPr>
          <w:rFonts w:ascii="Arial" w:hAnsi="Arial" w:cs="Arial"/>
          <w:color w:val="000000"/>
        </w:rPr>
        <w:t>dmin/donation complaints</w:t>
      </w:r>
      <w:proofErr w:type="gramStart"/>
      <w:r w:rsidR="005929DD">
        <w:rPr>
          <w:rFonts w:ascii="Arial" w:hAnsi="Arial" w:cs="Arial"/>
          <w:color w:val="000000"/>
        </w:rPr>
        <w:t>.</w:t>
      </w:r>
      <w:r>
        <w:rPr>
          <w:rFonts w:ascii="Arial" w:hAnsi="Arial" w:cs="Arial"/>
          <w:color w:val="000000"/>
        </w:rPr>
        <w:t>.</w:t>
      </w:r>
      <w:proofErr w:type="gramEnd"/>
    </w:p>
    <w:p w:rsidR="00AF645A" w:rsidRDefault="00AF645A" w:rsidP="00252FFB">
      <w:pPr>
        <w:autoSpaceDE w:val="0"/>
        <w:autoSpaceDN w:val="0"/>
        <w:adjustRightInd w:val="0"/>
        <w:jc w:val="both"/>
        <w:rPr>
          <w:rFonts w:ascii="Arial" w:hAnsi="Arial" w:cs="Arial"/>
          <w:color w:val="000000"/>
        </w:rPr>
      </w:pPr>
      <w:r>
        <w:rPr>
          <w:rFonts w:ascii="Arial" w:hAnsi="Arial" w:cs="Arial"/>
          <w:color w:val="000000"/>
        </w:rPr>
        <w:t xml:space="preserve">These reductions are particularly notable given that 2016-17 saw considerable media attention on alleged fundraising malpractice, including by Oxfam. We saw a small uplift in complaints rates in August 2015 – when, in light of the media attention, we proactively contacted </w:t>
      </w:r>
      <w:r w:rsidR="00EC2C74">
        <w:rPr>
          <w:rFonts w:ascii="Arial" w:hAnsi="Arial" w:cs="Arial"/>
          <w:color w:val="000000"/>
        </w:rPr>
        <w:t>a significant proportion of our current financial supporters</w:t>
      </w:r>
      <w:r>
        <w:rPr>
          <w:rFonts w:ascii="Arial" w:hAnsi="Arial" w:cs="Arial"/>
          <w:color w:val="000000"/>
        </w:rPr>
        <w:t xml:space="preserve"> to ask for feedback about our fundraising practices.  </w:t>
      </w:r>
    </w:p>
    <w:p w:rsidR="006571ED" w:rsidRDefault="006571ED" w:rsidP="00252FFB">
      <w:pPr>
        <w:autoSpaceDE w:val="0"/>
        <w:autoSpaceDN w:val="0"/>
        <w:adjustRightInd w:val="0"/>
        <w:jc w:val="both"/>
        <w:rPr>
          <w:rFonts w:ascii="Arial" w:hAnsi="Arial" w:cs="Arial"/>
          <w:color w:val="000000"/>
        </w:rPr>
      </w:pPr>
      <w:r>
        <w:rPr>
          <w:rFonts w:ascii="Arial" w:hAnsi="Arial" w:cs="Arial"/>
          <w:color w:val="000000"/>
        </w:rPr>
        <w:t>In 2016-17, we reviewed all our supplier contracts to include robust processes to protect vulnerable s</w:t>
      </w:r>
      <w:r w:rsidR="00473D17">
        <w:rPr>
          <w:rFonts w:ascii="Arial" w:hAnsi="Arial" w:cs="Arial"/>
          <w:color w:val="000000"/>
        </w:rPr>
        <w:t>upporters.  As t</w:t>
      </w:r>
      <w:r>
        <w:rPr>
          <w:rFonts w:ascii="Arial" w:hAnsi="Arial" w:cs="Arial"/>
          <w:color w:val="000000"/>
        </w:rPr>
        <w:t xml:space="preserve">elemarketing and street fundraising are particularly reliant on external suppliers, </w:t>
      </w:r>
      <w:r w:rsidR="00473D17">
        <w:rPr>
          <w:rFonts w:ascii="Arial" w:hAnsi="Arial" w:cs="Arial"/>
          <w:color w:val="000000"/>
        </w:rPr>
        <w:t>the supplier</w:t>
      </w:r>
      <w:r>
        <w:rPr>
          <w:rFonts w:ascii="Arial" w:hAnsi="Arial" w:cs="Arial"/>
          <w:color w:val="000000"/>
        </w:rPr>
        <w:t xml:space="preserve"> contract review – and increased scrutiny of these contracts by the Fundraising Committee – may </w:t>
      </w:r>
      <w:r w:rsidR="00473D17">
        <w:rPr>
          <w:rFonts w:ascii="Arial" w:hAnsi="Arial" w:cs="Arial"/>
          <w:color w:val="000000"/>
        </w:rPr>
        <w:t xml:space="preserve">partly account for </w:t>
      </w:r>
      <w:r>
        <w:rPr>
          <w:rFonts w:ascii="Arial" w:hAnsi="Arial" w:cs="Arial"/>
          <w:color w:val="000000"/>
        </w:rPr>
        <w:t xml:space="preserve">the reduction in the numbers of complaints in these categories. </w:t>
      </w:r>
    </w:p>
    <w:p w:rsidR="00D3727A" w:rsidRDefault="00D3727A" w:rsidP="00252FFB">
      <w:pPr>
        <w:jc w:val="both"/>
        <w:rPr>
          <w:rFonts w:ascii="Arial" w:hAnsi="Arial" w:cs="Arial"/>
          <w:b/>
        </w:rPr>
      </w:pPr>
      <w:proofErr w:type="spellStart"/>
      <w:r>
        <w:rPr>
          <w:rFonts w:ascii="Arial" w:hAnsi="Arial" w:cs="Arial"/>
          <w:b/>
        </w:rPr>
        <w:lastRenderedPageBreak/>
        <w:t>Learning</w:t>
      </w:r>
      <w:r w:rsidR="003D10C4">
        <w:rPr>
          <w:rFonts w:ascii="Arial" w:hAnsi="Arial" w:cs="Arial"/>
          <w:b/>
        </w:rPr>
        <w:t>s</w:t>
      </w:r>
      <w:proofErr w:type="spellEnd"/>
      <w:r>
        <w:rPr>
          <w:rFonts w:ascii="Arial" w:hAnsi="Arial" w:cs="Arial"/>
          <w:b/>
        </w:rPr>
        <w:t xml:space="preserve"> 2016-17</w:t>
      </w:r>
    </w:p>
    <w:p w:rsidR="00252FFB" w:rsidRPr="00024B3A" w:rsidRDefault="00252FFB" w:rsidP="00252FFB">
      <w:pPr>
        <w:jc w:val="both"/>
        <w:rPr>
          <w:rFonts w:ascii="Arial" w:hAnsi="Arial" w:cs="Arial"/>
        </w:rPr>
      </w:pPr>
      <w:proofErr w:type="gramStart"/>
      <w:r w:rsidRPr="00573B1B">
        <w:rPr>
          <w:rFonts w:ascii="Arial" w:hAnsi="Arial" w:cs="Arial"/>
        </w:rPr>
        <w:t xml:space="preserve">Street activities </w:t>
      </w:r>
      <w:r w:rsidR="00473D17" w:rsidRPr="00573B1B">
        <w:rPr>
          <w:rFonts w:ascii="Arial" w:hAnsi="Arial" w:cs="Arial"/>
        </w:rPr>
        <w:t>is</w:t>
      </w:r>
      <w:proofErr w:type="gramEnd"/>
      <w:r w:rsidRPr="00573B1B">
        <w:rPr>
          <w:rFonts w:ascii="Arial" w:hAnsi="Arial" w:cs="Arial"/>
        </w:rPr>
        <w:t xml:space="preserve"> an area that</w:t>
      </w:r>
      <w:r w:rsidR="003D10C4" w:rsidRPr="00573B1B">
        <w:rPr>
          <w:rFonts w:ascii="Arial" w:hAnsi="Arial" w:cs="Arial"/>
        </w:rPr>
        <w:t xml:space="preserve"> tends to</w:t>
      </w:r>
      <w:r w:rsidRPr="00573B1B">
        <w:rPr>
          <w:rFonts w:ascii="Arial" w:hAnsi="Arial" w:cs="Arial"/>
        </w:rPr>
        <w:t xml:space="preserve"> attract public criticism. </w:t>
      </w:r>
      <w:r w:rsidR="006B0B1D" w:rsidRPr="00573B1B">
        <w:rPr>
          <w:rFonts w:ascii="Arial" w:hAnsi="Arial" w:cs="Arial"/>
        </w:rPr>
        <w:t xml:space="preserve">Managers from </w:t>
      </w:r>
      <w:r w:rsidRPr="00573B1B">
        <w:rPr>
          <w:rFonts w:ascii="Arial" w:hAnsi="Arial" w:cs="Arial"/>
        </w:rPr>
        <w:t>S</w:t>
      </w:r>
      <w:r w:rsidR="006B0B1D" w:rsidRPr="00573B1B">
        <w:rPr>
          <w:rFonts w:ascii="Arial" w:hAnsi="Arial" w:cs="Arial"/>
        </w:rPr>
        <w:t>upporter Relations</w:t>
      </w:r>
      <w:r w:rsidRPr="00573B1B">
        <w:rPr>
          <w:rFonts w:ascii="Arial" w:hAnsi="Arial" w:cs="Arial"/>
        </w:rPr>
        <w:t xml:space="preserve"> and Marketing meet monthly, sharing feedback and complaints. As a result, a lot of learning and understanding has taken place</w:t>
      </w:r>
      <w:r w:rsidR="003D10C4" w:rsidRPr="00573B1B">
        <w:rPr>
          <w:rFonts w:ascii="Arial" w:hAnsi="Arial" w:cs="Arial"/>
        </w:rPr>
        <w:t>.  In addition, during 2016-17</w:t>
      </w:r>
      <w:r w:rsidR="00473D17" w:rsidRPr="00573B1B">
        <w:rPr>
          <w:rFonts w:ascii="Arial" w:hAnsi="Arial" w:cs="Arial"/>
        </w:rPr>
        <w:t xml:space="preserve"> we decided </w:t>
      </w:r>
      <w:r w:rsidR="003D10C4" w:rsidRPr="00573B1B">
        <w:rPr>
          <w:rFonts w:ascii="Arial" w:hAnsi="Arial" w:cs="Arial"/>
        </w:rPr>
        <w:t xml:space="preserve">that </w:t>
      </w:r>
      <w:r w:rsidR="009D0D7E" w:rsidRPr="00573B1B">
        <w:rPr>
          <w:rFonts w:ascii="Arial" w:hAnsi="Arial" w:cs="Arial"/>
        </w:rPr>
        <w:t>the Oxfam street</w:t>
      </w:r>
      <w:r w:rsidRPr="00573B1B">
        <w:rPr>
          <w:rFonts w:ascii="Arial" w:hAnsi="Arial" w:cs="Arial"/>
        </w:rPr>
        <w:t xml:space="preserve"> team </w:t>
      </w:r>
      <w:r w:rsidR="003D10C4" w:rsidRPr="00573B1B">
        <w:rPr>
          <w:rFonts w:ascii="Arial" w:hAnsi="Arial" w:cs="Arial"/>
        </w:rPr>
        <w:t xml:space="preserve">should be managed by OGB employees – </w:t>
      </w:r>
      <w:r w:rsidR="00473D17" w:rsidRPr="00573B1B">
        <w:rPr>
          <w:rFonts w:ascii="Arial" w:hAnsi="Arial" w:cs="Arial"/>
        </w:rPr>
        <w:t>this change</w:t>
      </w:r>
      <w:r w:rsidR="003D10C4" w:rsidRPr="00573B1B">
        <w:rPr>
          <w:rFonts w:ascii="Arial" w:hAnsi="Arial" w:cs="Arial"/>
        </w:rPr>
        <w:t xml:space="preserve"> has given us more direct engagement with the activities and ensured more prompt and clear follow-up on any requested changes in </w:t>
      </w:r>
      <w:r w:rsidR="00C23512" w:rsidRPr="00573B1B">
        <w:rPr>
          <w:rFonts w:ascii="Arial" w:hAnsi="Arial" w:cs="Arial"/>
        </w:rPr>
        <w:t>activities</w:t>
      </w:r>
      <w:r w:rsidR="003D10C4" w:rsidRPr="00573B1B">
        <w:rPr>
          <w:rFonts w:ascii="Arial" w:hAnsi="Arial" w:cs="Arial"/>
        </w:rPr>
        <w:t xml:space="preserve"> and behaviours.  All this </w:t>
      </w:r>
      <w:r w:rsidR="00C23512" w:rsidRPr="00573B1B">
        <w:rPr>
          <w:rFonts w:ascii="Arial" w:hAnsi="Arial" w:cs="Arial"/>
        </w:rPr>
        <w:t>has</w:t>
      </w:r>
      <w:r w:rsidRPr="00573B1B">
        <w:rPr>
          <w:rFonts w:ascii="Arial" w:hAnsi="Arial" w:cs="Arial"/>
        </w:rPr>
        <w:t xml:space="preserve"> contributed towards a reduction, year on year in public complaints</w:t>
      </w:r>
      <w:r w:rsidR="003D10C4" w:rsidRPr="00573B1B">
        <w:rPr>
          <w:rFonts w:ascii="Arial" w:hAnsi="Arial" w:cs="Arial"/>
        </w:rPr>
        <w:t>.</w:t>
      </w:r>
    </w:p>
    <w:p w:rsidR="00252FFB" w:rsidRDefault="00252FFB" w:rsidP="00252FFB">
      <w:pPr>
        <w:jc w:val="both"/>
        <w:rPr>
          <w:rFonts w:ascii="Arial" w:hAnsi="Arial" w:cs="Arial"/>
          <w:color w:val="000000"/>
        </w:rPr>
      </w:pPr>
      <w:r>
        <w:rPr>
          <w:rFonts w:ascii="Arial" w:hAnsi="Arial" w:cs="Arial"/>
          <w:color w:val="000000"/>
        </w:rPr>
        <w:t>A new feature this year (from January 2017) has seen Supporter Relations logging complaints and adding an upheld/not upheld flag. This recognises the outcome of further investigation to identify those complaints that absolutely required action, or were warranted due to error or similar by Oxfam, rather than those that (for example) were views on our approach or policy.</w:t>
      </w:r>
    </w:p>
    <w:p w:rsidR="002F6ED6" w:rsidRDefault="00252FFB" w:rsidP="00252FFB">
      <w:pPr>
        <w:jc w:val="both"/>
        <w:rPr>
          <w:rFonts w:ascii="Arial" w:hAnsi="Arial" w:cs="Arial"/>
          <w:color w:val="000000"/>
        </w:rPr>
      </w:pPr>
      <w:r>
        <w:rPr>
          <w:rFonts w:ascii="Arial" w:hAnsi="Arial" w:cs="Arial"/>
          <w:color w:val="000000"/>
        </w:rPr>
        <w:t xml:space="preserve">So far the results have shown that for the </w:t>
      </w:r>
      <w:r w:rsidR="002F6ED6">
        <w:rPr>
          <w:rFonts w:ascii="Arial" w:hAnsi="Arial" w:cs="Arial"/>
          <w:color w:val="000000"/>
        </w:rPr>
        <w:t>months January – March 2017, 499</w:t>
      </w:r>
      <w:r>
        <w:rPr>
          <w:rFonts w:ascii="Arial" w:hAnsi="Arial" w:cs="Arial"/>
          <w:color w:val="000000"/>
        </w:rPr>
        <w:t xml:space="preserve"> complaints have been logged, however only 170 of those complaints were </w:t>
      </w:r>
      <w:r w:rsidR="009D26C7">
        <w:rPr>
          <w:rFonts w:ascii="Arial" w:hAnsi="Arial" w:cs="Arial"/>
          <w:color w:val="000000"/>
        </w:rPr>
        <w:t>“</w:t>
      </w:r>
      <w:r>
        <w:rPr>
          <w:rFonts w:ascii="Arial" w:hAnsi="Arial" w:cs="Arial"/>
          <w:color w:val="000000"/>
        </w:rPr>
        <w:t>upheld</w:t>
      </w:r>
      <w:r w:rsidR="009D26C7">
        <w:rPr>
          <w:rFonts w:ascii="Arial" w:hAnsi="Arial" w:cs="Arial"/>
          <w:color w:val="000000"/>
        </w:rPr>
        <w:t>”</w:t>
      </w:r>
      <w:r>
        <w:rPr>
          <w:rFonts w:ascii="Arial" w:hAnsi="Arial" w:cs="Arial"/>
          <w:color w:val="000000"/>
        </w:rPr>
        <w:t xml:space="preserve">. This is </w:t>
      </w:r>
      <w:r w:rsidR="009D26C7">
        <w:rPr>
          <w:rFonts w:ascii="Arial" w:hAnsi="Arial" w:cs="Arial"/>
          <w:color w:val="000000"/>
        </w:rPr>
        <w:t xml:space="preserve">an </w:t>
      </w:r>
      <w:r>
        <w:rPr>
          <w:rFonts w:ascii="Arial" w:hAnsi="Arial" w:cs="Arial"/>
          <w:color w:val="000000"/>
        </w:rPr>
        <w:t>area that we will continue to monitor and identify particular insight</w:t>
      </w:r>
      <w:r w:rsidR="009D26C7">
        <w:rPr>
          <w:rFonts w:ascii="Arial" w:hAnsi="Arial" w:cs="Arial"/>
          <w:color w:val="000000"/>
        </w:rPr>
        <w:t>s</w:t>
      </w:r>
      <w:r>
        <w:rPr>
          <w:rFonts w:ascii="Arial" w:hAnsi="Arial" w:cs="Arial"/>
          <w:color w:val="000000"/>
        </w:rPr>
        <w:t xml:space="preserve"> or </w:t>
      </w:r>
      <w:proofErr w:type="spellStart"/>
      <w:r>
        <w:rPr>
          <w:rFonts w:ascii="Arial" w:hAnsi="Arial" w:cs="Arial"/>
          <w:color w:val="000000"/>
        </w:rPr>
        <w:t>learning</w:t>
      </w:r>
      <w:r w:rsidR="009D26C7">
        <w:rPr>
          <w:rFonts w:ascii="Arial" w:hAnsi="Arial" w:cs="Arial"/>
          <w:color w:val="000000"/>
        </w:rPr>
        <w:t>s</w:t>
      </w:r>
      <w:proofErr w:type="spellEnd"/>
      <w:r>
        <w:rPr>
          <w:rFonts w:ascii="Arial" w:hAnsi="Arial" w:cs="Arial"/>
          <w:color w:val="000000"/>
        </w:rPr>
        <w:t>.</w:t>
      </w:r>
    </w:p>
    <w:tbl>
      <w:tblPr>
        <w:tblpPr w:leftFromText="180" w:rightFromText="180" w:vertAnchor="text" w:horzAnchor="margin" w:tblpY="134"/>
        <w:tblW w:w="7380" w:type="dxa"/>
        <w:tblLook w:val="04A0"/>
      </w:tblPr>
      <w:tblGrid>
        <w:gridCol w:w="3480"/>
        <w:gridCol w:w="1180"/>
        <w:gridCol w:w="1180"/>
        <w:gridCol w:w="1540"/>
      </w:tblGrid>
      <w:tr w:rsidR="00AC6332" w:rsidRPr="0085719E" w:rsidTr="002F6ED6">
        <w:trPr>
          <w:trHeight w:val="843"/>
        </w:trPr>
        <w:tc>
          <w:tcPr>
            <w:tcW w:w="348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2F6ED6" w:rsidRDefault="00AC6332" w:rsidP="002F6ED6">
            <w:pPr>
              <w:spacing w:after="0" w:line="240" w:lineRule="auto"/>
              <w:rPr>
                <w:rFonts w:ascii="Calibri" w:eastAsia="Times New Roman" w:hAnsi="Calibri" w:cs="Times New Roman"/>
                <w:b/>
                <w:bCs/>
                <w:color w:val="000000"/>
                <w:lang w:eastAsia="en-GB"/>
              </w:rPr>
            </w:pPr>
            <w:r w:rsidRPr="0085719E">
              <w:rPr>
                <w:rFonts w:ascii="Calibri" w:eastAsia="Times New Roman" w:hAnsi="Calibri" w:cs="Times New Roman"/>
                <w:b/>
                <w:bCs/>
                <w:color w:val="000000"/>
                <w:lang w:eastAsia="en-GB"/>
              </w:rPr>
              <w:t xml:space="preserve">January 2017 - March 2017           </w:t>
            </w:r>
          </w:p>
          <w:p w:rsidR="00AC6332" w:rsidRPr="0085719E" w:rsidRDefault="00AC6332" w:rsidP="002F6ED6">
            <w:pPr>
              <w:spacing w:after="0" w:line="240" w:lineRule="auto"/>
              <w:rPr>
                <w:rFonts w:ascii="Calibri" w:eastAsia="Times New Roman" w:hAnsi="Calibri" w:cs="Times New Roman"/>
                <w:b/>
                <w:bCs/>
                <w:color w:val="000000"/>
                <w:lang w:eastAsia="en-GB"/>
              </w:rPr>
            </w:pPr>
            <w:r w:rsidRPr="0085719E">
              <w:rPr>
                <w:rFonts w:ascii="Calibri" w:eastAsia="Times New Roman" w:hAnsi="Calibri" w:cs="Times New Roman"/>
                <w:b/>
                <w:bCs/>
                <w:color w:val="000000"/>
                <w:lang w:eastAsia="en-GB"/>
              </w:rPr>
              <w:t xml:space="preserve">                                                                                 No. Complaints Upheld/Not Upheld</w:t>
            </w:r>
          </w:p>
        </w:tc>
        <w:tc>
          <w:tcPr>
            <w:tcW w:w="11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C6332" w:rsidRPr="0085719E" w:rsidRDefault="00AC6332" w:rsidP="00AC6332">
            <w:pPr>
              <w:spacing w:after="0" w:line="240" w:lineRule="auto"/>
              <w:rPr>
                <w:rFonts w:ascii="Calibri" w:eastAsia="Times New Roman" w:hAnsi="Calibri" w:cs="Times New Roman"/>
                <w:b/>
                <w:bCs/>
                <w:color w:val="000000"/>
                <w:lang w:eastAsia="en-GB"/>
              </w:rPr>
            </w:pPr>
            <w:r w:rsidRPr="0085719E">
              <w:rPr>
                <w:rFonts w:ascii="Calibri" w:eastAsia="Times New Roman" w:hAnsi="Calibri" w:cs="Times New Roman"/>
                <w:b/>
                <w:bCs/>
                <w:color w:val="000000"/>
                <w:lang w:eastAsia="en-GB"/>
              </w:rPr>
              <w:t>No</w:t>
            </w:r>
          </w:p>
        </w:tc>
        <w:tc>
          <w:tcPr>
            <w:tcW w:w="11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C6332" w:rsidRPr="0085719E" w:rsidRDefault="00AC6332" w:rsidP="00AC6332">
            <w:pPr>
              <w:spacing w:after="0" w:line="240" w:lineRule="auto"/>
              <w:rPr>
                <w:rFonts w:ascii="Calibri" w:eastAsia="Times New Roman" w:hAnsi="Calibri" w:cs="Times New Roman"/>
                <w:b/>
                <w:bCs/>
                <w:color w:val="000000"/>
                <w:lang w:eastAsia="en-GB"/>
              </w:rPr>
            </w:pPr>
            <w:r w:rsidRPr="0085719E">
              <w:rPr>
                <w:rFonts w:ascii="Calibri" w:eastAsia="Times New Roman" w:hAnsi="Calibri" w:cs="Times New Roman"/>
                <w:b/>
                <w:bCs/>
                <w:color w:val="000000"/>
                <w:lang w:eastAsia="en-GB"/>
              </w:rPr>
              <w:t>Yes</w:t>
            </w:r>
          </w:p>
        </w:tc>
        <w:tc>
          <w:tcPr>
            <w:tcW w:w="154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AC6332" w:rsidRPr="0085719E" w:rsidRDefault="00AC6332" w:rsidP="00AC6332">
            <w:pPr>
              <w:spacing w:after="0" w:line="240" w:lineRule="auto"/>
              <w:rPr>
                <w:rFonts w:ascii="Calibri" w:eastAsia="Times New Roman" w:hAnsi="Calibri" w:cs="Times New Roman"/>
                <w:b/>
                <w:bCs/>
                <w:color w:val="000000"/>
                <w:lang w:eastAsia="en-GB"/>
              </w:rPr>
            </w:pPr>
            <w:r w:rsidRPr="0085719E">
              <w:rPr>
                <w:rFonts w:ascii="Calibri" w:eastAsia="Times New Roman" w:hAnsi="Calibri" w:cs="Times New Roman"/>
                <w:b/>
                <w:bCs/>
                <w:color w:val="000000"/>
                <w:lang w:eastAsia="en-GB"/>
              </w:rPr>
              <w:t>2016-17 Total</w:t>
            </w:r>
          </w:p>
        </w:tc>
      </w:tr>
      <w:tr w:rsidR="00AC6332" w:rsidRPr="0085719E" w:rsidTr="00AC6332">
        <w:trPr>
          <w:trHeight w:val="300"/>
        </w:trPr>
        <w:tc>
          <w:tcPr>
            <w:tcW w:w="3480" w:type="dxa"/>
            <w:tcBorders>
              <w:top w:val="nil"/>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Administration Errors</w:t>
            </w:r>
          </w:p>
        </w:tc>
        <w:tc>
          <w:tcPr>
            <w:tcW w:w="1180" w:type="dxa"/>
            <w:tcBorders>
              <w:top w:val="nil"/>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47</w:t>
            </w:r>
          </w:p>
        </w:tc>
        <w:tc>
          <w:tcPr>
            <w:tcW w:w="1180" w:type="dxa"/>
            <w:tcBorders>
              <w:top w:val="nil"/>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47</w:t>
            </w:r>
          </w:p>
        </w:tc>
        <w:tc>
          <w:tcPr>
            <w:tcW w:w="1540" w:type="dxa"/>
            <w:tcBorders>
              <w:top w:val="nil"/>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94</w:t>
            </w:r>
          </w:p>
        </w:tc>
      </w:tr>
      <w:tr w:rsidR="00AC6332" w:rsidRPr="0085719E" w:rsidTr="00AC6332">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Campaigns &amp; Policy</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32</w:t>
            </w:r>
          </w:p>
        </w:tc>
      </w:tr>
      <w:tr w:rsidR="00AC6332" w:rsidRPr="0085719E" w:rsidTr="00AC6332">
        <w:trPr>
          <w:trHeight w:val="300"/>
        </w:trPr>
        <w:tc>
          <w:tcPr>
            <w:tcW w:w="348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Fundraising</w:t>
            </w:r>
          </w:p>
        </w:tc>
        <w:tc>
          <w:tcPr>
            <w:tcW w:w="118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199</w:t>
            </w:r>
          </w:p>
        </w:tc>
        <w:tc>
          <w:tcPr>
            <w:tcW w:w="118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62</w:t>
            </w:r>
          </w:p>
        </w:tc>
        <w:tc>
          <w:tcPr>
            <w:tcW w:w="154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261</w:t>
            </w:r>
          </w:p>
        </w:tc>
      </w:tr>
      <w:tr w:rsidR="00AC6332" w:rsidRPr="0085719E" w:rsidTr="00AC6332">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Oxfam General Policy</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16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3</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19</w:t>
            </w:r>
          </w:p>
        </w:tc>
      </w:tr>
      <w:tr w:rsidR="00AC6332" w:rsidRPr="0085719E" w:rsidTr="00AC6332">
        <w:trPr>
          <w:trHeight w:val="300"/>
        </w:trPr>
        <w:tc>
          <w:tcPr>
            <w:tcW w:w="348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Shopping</w:t>
            </w:r>
          </w:p>
        </w:tc>
        <w:tc>
          <w:tcPr>
            <w:tcW w:w="118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27</w:t>
            </w:r>
          </w:p>
        </w:tc>
        <w:tc>
          <w:tcPr>
            <w:tcW w:w="118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47</w:t>
            </w:r>
          </w:p>
        </w:tc>
        <w:tc>
          <w:tcPr>
            <w:tcW w:w="154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74</w:t>
            </w:r>
          </w:p>
        </w:tc>
      </w:tr>
      <w:tr w:rsidR="00AC6332" w:rsidRPr="0085719E" w:rsidTr="00AC6332">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Website</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11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19</w:t>
            </w:r>
          </w:p>
        </w:tc>
      </w:tr>
      <w:tr w:rsidR="00AC6332" w:rsidRPr="0085719E" w:rsidTr="00AC6332">
        <w:trPr>
          <w:trHeight w:val="300"/>
        </w:trPr>
        <w:tc>
          <w:tcPr>
            <w:tcW w:w="348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Grand Total</w:t>
            </w:r>
          </w:p>
        </w:tc>
        <w:tc>
          <w:tcPr>
            <w:tcW w:w="118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329</w:t>
            </w:r>
          </w:p>
        </w:tc>
        <w:tc>
          <w:tcPr>
            <w:tcW w:w="118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170</w:t>
            </w:r>
          </w:p>
        </w:tc>
        <w:tc>
          <w:tcPr>
            <w:tcW w:w="154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85719E" w:rsidRDefault="00AC6332" w:rsidP="00AC6332">
            <w:pPr>
              <w:spacing w:after="0" w:line="240" w:lineRule="auto"/>
              <w:jc w:val="right"/>
              <w:rPr>
                <w:rFonts w:ascii="Calibri" w:eastAsia="Times New Roman" w:hAnsi="Calibri" w:cs="Times New Roman"/>
                <w:color w:val="000000"/>
                <w:lang w:eastAsia="en-GB"/>
              </w:rPr>
            </w:pPr>
            <w:r w:rsidRPr="0085719E">
              <w:rPr>
                <w:rFonts w:ascii="Calibri" w:eastAsia="Times New Roman" w:hAnsi="Calibri" w:cs="Times New Roman"/>
                <w:color w:val="000000"/>
                <w:lang w:eastAsia="en-GB"/>
              </w:rPr>
              <w:t>499</w:t>
            </w:r>
          </w:p>
        </w:tc>
      </w:tr>
    </w:tbl>
    <w:p w:rsidR="00AC6332" w:rsidRDefault="00AC6332" w:rsidP="00252FFB">
      <w:pPr>
        <w:jc w:val="both"/>
        <w:rPr>
          <w:rFonts w:ascii="Arial" w:hAnsi="Arial" w:cs="Arial"/>
          <w:color w:val="000000"/>
        </w:rPr>
      </w:pPr>
    </w:p>
    <w:p w:rsidR="00AC6332" w:rsidRDefault="00AC6332" w:rsidP="00252FFB">
      <w:pPr>
        <w:jc w:val="both"/>
        <w:rPr>
          <w:rFonts w:ascii="Arial" w:hAnsi="Arial" w:cs="Arial"/>
          <w:color w:val="000000"/>
        </w:rPr>
      </w:pPr>
    </w:p>
    <w:p w:rsidR="00AC6332" w:rsidRDefault="00AC6332" w:rsidP="00252FFB">
      <w:pPr>
        <w:jc w:val="both"/>
        <w:rPr>
          <w:rFonts w:ascii="Arial" w:hAnsi="Arial" w:cs="Arial"/>
          <w:color w:val="000000"/>
        </w:rPr>
      </w:pPr>
    </w:p>
    <w:p w:rsidR="00AC6332" w:rsidRDefault="00AC6332" w:rsidP="00252FFB">
      <w:pPr>
        <w:jc w:val="both"/>
        <w:rPr>
          <w:rFonts w:ascii="Arial" w:hAnsi="Arial" w:cs="Arial"/>
          <w:color w:val="000000"/>
        </w:rPr>
      </w:pPr>
    </w:p>
    <w:p w:rsidR="00AC6332" w:rsidRDefault="00AC6332" w:rsidP="00252FFB">
      <w:pPr>
        <w:jc w:val="both"/>
        <w:rPr>
          <w:rFonts w:ascii="Arial" w:hAnsi="Arial" w:cs="Arial"/>
          <w:color w:val="000000"/>
        </w:rPr>
      </w:pPr>
    </w:p>
    <w:p w:rsidR="00AC6332" w:rsidRDefault="00AC6332" w:rsidP="00252FFB">
      <w:pPr>
        <w:jc w:val="both"/>
        <w:rPr>
          <w:rFonts w:ascii="Arial" w:hAnsi="Arial" w:cs="Arial"/>
          <w:color w:val="000000"/>
        </w:rPr>
      </w:pPr>
    </w:p>
    <w:p w:rsidR="00AC6332" w:rsidRDefault="00AC6332" w:rsidP="00252FFB">
      <w:pPr>
        <w:jc w:val="both"/>
        <w:rPr>
          <w:rFonts w:ascii="Arial" w:hAnsi="Arial" w:cs="Arial"/>
          <w:color w:val="000000"/>
        </w:rPr>
      </w:pPr>
    </w:p>
    <w:p w:rsidR="00D3727A" w:rsidRPr="00D3727A" w:rsidRDefault="00D3727A" w:rsidP="00252FFB">
      <w:pPr>
        <w:rPr>
          <w:rFonts w:ascii="Arial" w:hAnsi="Arial" w:cs="Arial"/>
          <w:b/>
        </w:rPr>
      </w:pPr>
      <w:r w:rsidRPr="00D3727A">
        <w:rPr>
          <w:rFonts w:ascii="Arial" w:hAnsi="Arial" w:cs="Arial"/>
          <w:b/>
        </w:rPr>
        <w:t>Overall Trends and Figures</w:t>
      </w:r>
    </w:p>
    <w:p w:rsidR="00252FFB" w:rsidRDefault="003D78A5" w:rsidP="00252FFB">
      <w:pPr>
        <w:rPr>
          <w:rFonts w:ascii="Arial" w:hAnsi="Arial" w:cs="Arial"/>
          <w:b/>
          <w:i/>
        </w:rPr>
      </w:pPr>
      <w:r w:rsidRPr="003D78A5">
        <w:rPr>
          <w:rFonts w:ascii="Arial" w:hAnsi="Arial" w:cs="Arial"/>
          <w:b/>
          <w:i/>
        </w:rPr>
        <w:t>C</w:t>
      </w:r>
      <w:r w:rsidR="00252FFB" w:rsidRPr="003D78A5">
        <w:rPr>
          <w:rFonts w:ascii="Arial" w:hAnsi="Arial" w:cs="Arial"/>
          <w:b/>
          <w:i/>
        </w:rPr>
        <w:t>omplaints</w:t>
      </w:r>
      <w:r w:rsidRPr="003D78A5">
        <w:rPr>
          <w:rFonts w:ascii="Arial" w:hAnsi="Arial" w:cs="Arial"/>
          <w:b/>
          <w:i/>
        </w:rPr>
        <w:t xml:space="preserve"> by category</w:t>
      </w:r>
      <w:r w:rsidR="00252FFB" w:rsidRPr="003D78A5">
        <w:rPr>
          <w:rFonts w:ascii="Arial" w:hAnsi="Arial" w:cs="Arial"/>
          <w:b/>
          <w:i/>
        </w:rPr>
        <w:t xml:space="preserve"> received by O</w:t>
      </w:r>
      <w:r w:rsidRPr="003D78A5">
        <w:rPr>
          <w:rFonts w:ascii="Arial" w:hAnsi="Arial" w:cs="Arial"/>
          <w:b/>
          <w:i/>
        </w:rPr>
        <w:t>GB’s</w:t>
      </w:r>
      <w:r w:rsidR="00252FFB" w:rsidRPr="003D78A5">
        <w:rPr>
          <w:rFonts w:ascii="Arial" w:hAnsi="Arial" w:cs="Arial"/>
          <w:b/>
          <w:i/>
        </w:rPr>
        <w:t xml:space="preserve"> Supporter Relations Team</w:t>
      </w:r>
      <w:r w:rsidR="009D0D7E">
        <w:rPr>
          <w:rFonts w:ascii="Arial" w:hAnsi="Arial" w:cs="Arial"/>
          <w:b/>
          <w:i/>
        </w:rPr>
        <w:t xml:space="preserve">, </w:t>
      </w:r>
      <w:r w:rsidR="009D0D7E" w:rsidRPr="003D78A5">
        <w:rPr>
          <w:rFonts w:ascii="Arial" w:hAnsi="Arial" w:cs="Arial"/>
          <w:b/>
          <w:i/>
        </w:rPr>
        <w:t>April</w:t>
      </w:r>
      <w:r w:rsidR="00252FFB" w:rsidRPr="003D78A5">
        <w:rPr>
          <w:rFonts w:ascii="Arial" w:hAnsi="Arial" w:cs="Arial"/>
          <w:b/>
          <w:i/>
        </w:rPr>
        <w:t xml:space="preserve"> 201</w:t>
      </w:r>
      <w:r w:rsidRPr="003D78A5">
        <w:rPr>
          <w:rFonts w:ascii="Arial" w:hAnsi="Arial" w:cs="Arial"/>
          <w:b/>
          <w:i/>
        </w:rPr>
        <w:t>4</w:t>
      </w:r>
      <w:r w:rsidR="00252FFB" w:rsidRPr="003D78A5">
        <w:rPr>
          <w:rFonts w:ascii="Arial" w:hAnsi="Arial" w:cs="Arial"/>
          <w:b/>
          <w:i/>
        </w:rPr>
        <w:t xml:space="preserve"> – March 2017</w:t>
      </w:r>
      <w:r w:rsidRPr="003D78A5">
        <w:rPr>
          <w:rFonts w:ascii="Arial" w:hAnsi="Arial" w:cs="Arial"/>
          <w:b/>
          <w:i/>
        </w:rPr>
        <w:t>.</w:t>
      </w:r>
    </w:p>
    <w:tbl>
      <w:tblPr>
        <w:tblpPr w:leftFromText="180" w:rightFromText="180" w:vertAnchor="text" w:horzAnchor="margin" w:tblpY="154"/>
        <w:tblW w:w="6810" w:type="dxa"/>
        <w:tblLook w:val="04A0"/>
      </w:tblPr>
      <w:tblGrid>
        <w:gridCol w:w="2610"/>
        <w:gridCol w:w="1400"/>
        <w:gridCol w:w="1400"/>
        <w:gridCol w:w="1400"/>
      </w:tblGrid>
      <w:tr w:rsidR="00AC6332" w:rsidRPr="00FD5D86" w:rsidTr="00AC6332">
        <w:trPr>
          <w:trHeight w:val="740"/>
        </w:trPr>
        <w:tc>
          <w:tcPr>
            <w:tcW w:w="261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C6332" w:rsidRPr="00FD5D86" w:rsidRDefault="00AC6332" w:rsidP="00AC6332">
            <w:pPr>
              <w:spacing w:after="0" w:line="240" w:lineRule="auto"/>
              <w:rPr>
                <w:rFonts w:ascii="Calibri" w:eastAsia="Times New Roman" w:hAnsi="Calibri" w:cs="Times New Roman"/>
                <w:b/>
                <w:bCs/>
                <w:color w:val="000000"/>
                <w:lang w:eastAsia="en-GB"/>
              </w:rPr>
            </w:pPr>
            <w:r w:rsidRPr="00FD5D86">
              <w:rPr>
                <w:rFonts w:ascii="Calibri" w:eastAsia="Times New Roman" w:hAnsi="Calibri" w:cs="Times New Roman"/>
                <w:b/>
                <w:bCs/>
                <w:color w:val="000000"/>
                <w:lang w:eastAsia="en-GB"/>
              </w:rPr>
              <w:t>Complaint Category</w:t>
            </w:r>
          </w:p>
        </w:tc>
        <w:tc>
          <w:tcPr>
            <w:tcW w:w="140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AC6332" w:rsidRPr="00FD5D86" w:rsidRDefault="00AC6332" w:rsidP="00AC6332">
            <w:pPr>
              <w:spacing w:after="0" w:line="240" w:lineRule="auto"/>
              <w:rPr>
                <w:rFonts w:ascii="Calibri" w:eastAsia="Times New Roman" w:hAnsi="Calibri" w:cs="Times New Roman"/>
                <w:b/>
                <w:bCs/>
                <w:color w:val="000000"/>
                <w:lang w:eastAsia="en-GB"/>
              </w:rPr>
            </w:pPr>
            <w:r w:rsidRPr="00FD5D86">
              <w:rPr>
                <w:rFonts w:ascii="Calibri" w:eastAsia="Times New Roman" w:hAnsi="Calibri" w:cs="Times New Roman"/>
                <w:b/>
                <w:bCs/>
                <w:color w:val="000000"/>
                <w:lang w:eastAsia="en-GB"/>
              </w:rPr>
              <w:t>2014-15 Total</w:t>
            </w:r>
          </w:p>
        </w:tc>
        <w:tc>
          <w:tcPr>
            <w:tcW w:w="140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AC6332" w:rsidRPr="00FD5D86" w:rsidRDefault="00AC6332" w:rsidP="00AC6332">
            <w:pPr>
              <w:spacing w:after="0" w:line="240" w:lineRule="auto"/>
              <w:rPr>
                <w:rFonts w:ascii="Calibri" w:eastAsia="Times New Roman" w:hAnsi="Calibri" w:cs="Times New Roman"/>
                <w:b/>
                <w:bCs/>
                <w:color w:val="000000"/>
                <w:lang w:eastAsia="en-GB"/>
              </w:rPr>
            </w:pPr>
            <w:r w:rsidRPr="00FD5D86">
              <w:rPr>
                <w:rFonts w:ascii="Calibri" w:eastAsia="Times New Roman" w:hAnsi="Calibri" w:cs="Times New Roman"/>
                <w:b/>
                <w:bCs/>
                <w:color w:val="000000"/>
                <w:lang w:eastAsia="en-GB"/>
              </w:rPr>
              <w:t>2015-16 Total</w:t>
            </w:r>
          </w:p>
        </w:tc>
        <w:tc>
          <w:tcPr>
            <w:tcW w:w="140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AC6332" w:rsidRPr="00FD5D86" w:rsidRDefault="00AC6332" w:rsidP="00AC6332">
            <w:pPr>
              <w:spacing w:after="0" w:line="240" w:lineRule="auto"/>
              <w:rPr>
                <w:rFonts w:ascii="Calibri" w:eastAsia="Times New Roman" w:hAnsi="Calibri" w:cs="Times New Roman"/>
                <w:b/>
                <w:bCs/>
                <w:color w:val="000000"/>
                <w:lang w:eastAsia="en-GB"/>
              </w:rPr>
            </w:pPr>
            <w:r w:rsidRPr="00FD5D86">
              <w:rPr>
                <w:rFonts w:ascii="Calibri" w:eastAsia="Times New Roman" w:hAnsi="Calibri" w:cs="Times New Roman"/>
                <w:b/>
                <w:bCs/>
                <w:color w:val="000000"/>
                <w:lang w:eastAsia="en-GB"/>
              </w:rPr>
              <w:t>2016-17 Total</w:t>
            </w:r>
          </w:p>
        </w:tc>
      </w:tr>
      <w:tr w:rsidR="00AC6332" w:rsidRPr="00FD5D86" w:rsidTr="00AC6332">
        <w:trPr>
          <w:trHeight w:val="361"/>
        </w:trPr>
        <w:tc>
          <w:tcPr>
            <w:tcW w:w="2610" w:type="dxa"/>
            <w:tcBorders>
              <w:top w:val="nil"/>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Administration Errors</w:t>
            </w:r>
          </w:p>
        </w:tc>
        <w:tc>
          <w:tcPr>
            <w:tcW w:w="1400" w:type="dxa"/>
            <w:tcBorders>
              <w:top w:val="nil"/>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384</w:t>
            </w:r>
          </w:p>
        </w:tc>
        <w:tc>
          <w:tcPr>
            <w:tcW w:w="1400" w:type="dxa"/>
            <w:tcBorders>
              <w:top w:val="nil"/>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213</w:t>
            </w:r>
          </w:p>
        </w:tc>
        <w:tc>
          <w:tcPr>
            <w:tcW w:w="1400" w:type="dxa"/>
            <w:tcBorders>
              <w:top w:val="nil"/>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130</w:t>
            </w:r>
          </w:p>
        </w:tc>
      </w:tr>
      <w:tr w:rsidR="00AC6332" w:rsidRPr="00FD5D86" w:rsidTr="00AC6332">
        <w:trPr>
          <w:trHeight w:val="361"/>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FD5D86" w:rsidRDefault="00AC6332" w:rsidP="00AC6332">
            <w:pPr>
              <w:spacing w:after="0" w:line="240" w:lineRule="auto"/>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Campaigns &amp; Policy</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342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165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128</w:t>
            </w:r>
          </w:p>
        </w:tc>
      </w:tr>
      <w:tr w:rsidR="00AC6332" w:rsidRPr="00FD5D86" w:rsidTr="00AC6332">
        <w:trPr>
          <w:trHeight w:val="361"/>
        </w:trPr>
        <w:tc>
          <w:tcPr>
            <w:tcW w:w="261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Fundraising</w:t>
            </w:r>
          </w:p>
        </w:tc>
        <w:tc>
          <w:tcPr>
            <w:tcW w:w="140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1275</w:t>
            </w:r>
          </w:p>
        </w:tc>
        <w:tc>
          <w:tcPr>
            <w:tcW w:w="140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1714</w:t>
            </w:r>
          </w:p>
        </w:tc>
        <w:tc>
          <w:tcPr>
            <w:tcW w:w="140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846</w:t>
            </w:r>
          </w:p>
        </w:tc>
      </w:tr>
      <w:tr w:rsidR="00AC6332" w:rsidRPr="00FD5D86" w:rsidTr="00AC6332">
        <w:trPr>
          <w:trHeight w:val="361"/>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FD5D86" w:rsidRDefault="00AC6332" w:rsidP="00AC6332">
            <w:pPr>
              <w:spacing w:after="0" w:line="240" w:lineRule="auto"/>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Oxfam General Policy</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214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93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50</w:t>
            </w:r>
          </w:p>
        </w:tc>
      </w:tr>
      <w:tr w:rsidR="00AC6332" w:rsidRPr="00FD5D86" w:rsidTr="00AC6332">
        <w:trPr>
          <w:trHeight w:val="361"/>
        </w:trPr>
        <w:tc>
          <w:tcPr>
            <w:tcW w:w="261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Shopping</w:t>
            </w:r>
          </w:p>
        </w:tc>
        <w:tc>
          <w:tcPr>
            <w:tcW w:w="140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308</w:t>
            </w:r>
          </w:p>
        </w:tc>
        <w:tc>
          <w:tcPr>
            <w:tcW w:w="140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193</w:t>
            </w:r>
          </w:p>
        </w:tc>
        <w:tc>
          <w:tcPr>
            <w:tcW w:w="140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222</w:t>
            </w:r>
          </w:p>
        </w:tc>
      </w:tr>
      <w:tr w:rsidR="00AC6332" w:rsidRPr="00FD5D86" w:rsidTr="00AC6332">
        <w:trPr>
          <w:trHeight w:val="361"/>
        </w:trPr>
        <w:tc>
          <w:tcPr>
            <w:tcW w:w="2610" w:type="dxa"/>
            <w:tcBorders>
              <w:top w:val="single" w:sz="4" w:space="0" w:color="auto"/>
              <w:left w:val="single" w:sz="4" w:space="0" w:color="auto"/>
              <w:bottom w:val="nil"/>
              <w:right w:val="single" w:sz="4" w:space="0" w:color="auto"/>
            </w:tcBorders>
            <w:shd w:val="clear" w:color="auto" w:fill="auto"/>
            <w:noWrap/>
            <w:vAlign w:val="bottom"/>
            <w:hideMark/>
          </w:tcPr>
          <w:p w:rsidR="00AC6332" w:rsidRPr="00FD5D86" w:rsidRDefault="00AC6332" w:rsidP="00AC6332">
            <w:pPr>
              <w:spacing w:after="0" w:line="240" w:lineRule="auto"/>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Website</w:t>
            </w:r>
          </w:p>
        </w:tc>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637</w:t>
            </w:r>
          </w:p>
        </w:tc>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373</w:t>
            </w:r>
          </w:p>
        </w:tc>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AC6332" w:rsidRPr="00FD5D86" w:rsidRDefault="00AC6332" w:rsidP="00AC6332">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158</w:t>
            </w:r>
          </w:p>
        </w:tc>
      </w:tr>
      <w:tr w:rsidR="00AC6332" w:rsidRPr="00FD5D86" w:rsidTr="00AC6332">
        <w:trPr>
          <w:trHeight w:val="361"/>
        </w:trPr>
        <w:tc>
          <w:tcPr>
            <w:tcW w:w="261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AC6332">
            <w:pPr>
              <w:spacing w:after="0" w:line="240" w:lineRule="auto"/>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Grand Total</w:t>
            </w:r>
          </w:p>
        </w:tc>
        <w:tc>
          <w:tcPr>
            <w:tcW w:w="140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2F6ED6" w:rsidP="00AC6332">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3160</w:t>
            </w:r>
          </w:p>
        </w:tc>
        <w:tc>
          <w:tcPr>
            <w:tcW w:w="140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2F6ED6" w:rsidP="00AC6332">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2751</w:t>
            </w:r>
          </w:p>
        </w:tc>
        <w:tc>
          <w:tcPr>
            <w:tcW w:w="1400"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AC6332" w:rsidRPr="00FD5D86" w:rsidRDefault="00AC6332" w:rsidP="002F6ED6">
            <w:pPr>
              <w:spacing w:after="0" w:line="240" w:lineRule="auto"/>
              <w:jc w:val="right"/>
              <w:rPr>
                <w:rFonts w:ascii="Calibri" w:eastAsia="Times New Roman" w:hAnsi="Calibri" w:cs="Times New Roman"/>
                <w:color w:val="000000"/>
                <w:lang w:eastAsia="en-GB"/>
              </w:rPr>
            </w:pPr>
            <w:r w:rsidRPr="00FD5D86">
              <w:rPr>
                <w:rFonts w:ascii="Calibri" w:eastAsia="Times New Roman" w:hAnsi="Calibri" w:cs="Times New Roman"/>
                <w:color w:val="000000"/>
                <w:lang w:eastAsia="en-GB"/>
              </w:rPr>
              <w:t>1</w:t>
            </w:r>
            <w:r w:rsidR="002F6ED6">
              <w:rPr>
                <w:rFonts w:ascii="Calibri" w:eastAsia="Times New Roman" w:hAnsi="Calibri" w:cs="Times New Roman"/>
                <w:color w:val="000000"/>
                <w:lang w:eastAsia="en-GB"/>
              </w:rPr>
              <w:t>534</w:t>
            </w:r>
          </w:p>
        </w:tc>
      </w:tr>
    </w:tbl>
    <w:p w:rsidR="00AC6332" w:rsidRDefault="00AC6332" w:rsidP="00252FFB">
      <w:pPr>
        <w:rPr>
          <w:rFonts w:ascii="Arial" w:hAnsi="Arial" w:cs="Arial"/>
          <w:b/>
          <w:i/>
        </w:rPr>
      </w:pPr>
    </w:p>
    <w:p w:rsidR="00AC6332" w:rsidRDefault="00AC6332" w:rsidP="00252FFB">
      <w:pPr>
        <w:rPr>
          <w:rFonts w:ascii="Arial" w:hAnsi="Arial" w:cs="Arial"/>
          <w:b/>
          <w:i/>
        </w:rPr>
      </w:pPr>
    </w:p>
    <w:p w:rsidR="00AC6332" w:rsidRDefault="00AC6332" w:rsidP="00252FFB">
      <w:pPr>
        <w:rPr>
          <w:rFonts w:ascii="Arial" w:hAnsi="Arial" w:cs="Arial"/>
          <w:b/>
          <w:i/>
        </w:rPr>
      </w:pPr>
    </w:p>
    <w:p w:rsidR="00AC6332" w:rsidRDefault="00AC6332" w:rsidP="00252FFB">
      <w:pPr>
        <w:rPr>
          <w:rFonts w:ascii="Arial" w:hAnsi="Arial" w:cs="Arial"/>
          <w:b/>
          <w:i/>
        </w:rPr>
      </w:pPr>
    </w:p>
    <w:p w:rsidR="00AC6332" w:rsidRDefault="00AC6332" w:rsidP="00252FFB">
      <w:pPr>
        <w:rPr>
          <w:rFonts w:ascii="Arial" w:hAnsi="Arial" w:cs="Arial"/>
          <w:b/>
          <w:i/>
        </w:rPr>
      </w:pPr>
    </w:p>
    <w:p w:rsidR="00AC6332" w:rsidRDefault="00AC6332" w:rsidP="00252FFB">
      <w:pPr>
        <w:rPr>
          <w:rFonts w:ascii="Arial" w:hAnsi="Arial" w:cs="Arial"/>
          <w:b/>
          <w:i/>
        </w:rPr>
      </w:pPr>
    </w:p>
    <w:p w:rsidR="00AC6332" w:rsidRDefault="00AC6332" w:rsidP="00252FFB">
      <w:pPr>
        <w:rPr>
          <w:rFonts w:ascii="Arial" w:hAnsi="Arial" w:cs="Arial"/>
          <w:b/>
          <w:i/>
        </w:rPr>
      </w:pPr>
    </w:p>
    <w:p w:rsidR="002F6ED6" w:rsidRDefault="002F6ED6" w:rsidP="00252FFB">
      <w:pPr>
        <w:rPr>
          <w:rFonts w:ascii="Arial" w:hAnsi="Arial" w:cs="Arial"/>
          <w:b/>
          <w:i/>
        </w:rPr>
      </w:pPr>
    </w:p>
    <w:p w:rsidR="00AC6332" w:rsidRDefault="00AC6332" w:rsidP="00252FFB">
      <w:pPr>
        <w:rPr>
          <w:rFonts w:ascii="Arial" w:hAnsi="Arial" w:cs="Arial"/>
          <w:b/>
          <w:i/>
        </w:rPr>
      </w:pPr>
    </w:p>
    <w:p w:rsidR="00AC6332" w:rsidRDefault="00AC6332" w:rsidP="00252FFB">
      <w:pPr>
        <w:rPr>
          <w:rFonts w:ascii="Arial" w:hAnsi="Arial" w:cs="Arial"/>
          <w:b/>
          <w:i/>
        </w:rPr>
      </w:pPr>
      <w:r>
        <w:rPr>
          <w:rFonts w:ascii="Arial" w:hAnsi="Arial" w:cs="Arial"/>
          <w:noProof/>
          <w:color w:val="000000"/>
          <w:lang w:eastAsia="en-GB"/>
        </w:rPr>
        <w:drawing>
          <wp:inline distT="0" distB="0" distL="0" distR="0">
            <wp:extent cx="4572000" cy="27432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3E67" w:rsidRDefault="00F73E67" w:rsidP="00C54E16">
      <w:pPr>
        <w:ind w:firstLine="720"/>
        <w:rPr>
          <w:rFonts w:ascii="Arial" w:hAnsi="Arial" w:cs="Arial"/>
        </w:rPr>
      </w:pPr>
    </w:p>
    <w:p w:rsidR="00462AD8" w:rsidRPr="00573B1B" w:rsidRDefault="00690188" w:rsidP="00252FFB">
      <w:pPr>
        <w:rPr>
          <w:rFonts w:ascii="Arial" w:hAnsi="Arial" w:cs="Arial"/>
          <w:b/>
          <w:i/>
        </w:rPr>
      </w:pPr>
      <w:r w:rsidRPr="00573B1B">
        <w:rPr>
          <w:rFonts w:ascii="Arial" w:hAnsi="Arial" w:cs="Arial"/>
          <w:b/>
          <w:i/>
        </w:rPr>
        <w:t>Complaints received from the Telephone Preference Service (TPS)</w:t>
      </w:r>
    </w:p>
    <w:tbl>
      <w:tblPr>
        <w:tblW w:w="4723" w:type="dxa"/>
        <w:tblInd w:w="-34" w:type="dxa"/>
        <w:tblLook w:val="04A0"/>
      </w:tblPr>
      <w:tblGrid>
        <w:gridCol w:w="1923"/>
        <w:gridCol w:w="2800"/>
      </w:tblGrid>
      <w:tr w:rsidR="00921E2A" w:rsidRPr="00690188" w:rsidTr="00921E2A">
        <w:trPr>
          <w:trHeight w:val="960"/>
        </w:trPr>
        <w:tc>
          <w:tcPr>
            <w:tcW w:w="1923" w:type="dxa"/>
            <w:tcBorders>
              <w:top w:val="single" w:sz="8" w:space="0" w:color="auto"/>
              <w:left w:val="single" w:sz="8" w:space="0" w:color="auto"/>
              <w:bottom w:val="single" w:sz="8" w:space="0" w:color="auto"/>
              <w:right w:val="nil"/>
            </w:tcBorders>
            <w:shd w:val="clear" w:color="auto" w:fill="auto"/>
            <w:vAlign w:val="center"/>
            <w:hideMark/>
          </w:tcPr>
          <w:p w:rsidR="00921E2A" w:rsidRPr="00690188" w:rsidRDefault="00921E2A" w:rsidP="00690188">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Calendar </w:t>
            </w:r>
            <w:r w:rsidRPr="00690188">
              <w:rPr>
                <w:rFonts w:ascii="Calibri" w:eastAsia="Times New Roman" w:hAnsi="Calibri" w:cs="Times New Roman"/>
                <w:b/>
                <w:bCs/>
                <w:color w:val="000000"/>
                <w:lang w:eastAsia="en-GB"/>
              </w:rPr>
              <w:t>Year</w:t>
            </w:r>
          </w:p>
        </w:tc>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1E2A" w:rsidRPr="00690188" w:rsidRDefault="00921E2A" w:rsidP="00690188">
            <w:pPr>
              <w:spacing w:after="0" w:line="240" w:lineRule="auto"/>
              <w:jc w:val="center"/>
              <w:rPr>
                <w:rFonts w:ascii="Calibri" w:eastAsia="Times New Roman" w:hAnsi="Calibri" w:cs="Times New Roman"/>
                <w:b/>
                <w:bCs/>
                <w:color w:val="000000"/>
                <w:lang w:eastAsia="en-GB"/>
              </w:rPr>
            </w:pPr>
            <w:r w:rsidRPr="00690188">
              <w:rPr>
                <w:rFonts w:ascii="Calibri" w:eastAsia="Times New Roman" w:hAnsi="Calibri" w:cs="Times New Roman"/>
                <w:b/>
                <w:bCs/>
                <w:color w:val="000000"/>
                <w:lang w:eastAsia="en-GB"/>
              </w:rPr>
              <w:t>Number of TPS Complaints</w:t>
            </w:r>
          </w:p>
        </w:tc>
      </w:tr>
      <w:tr w:rsidR="00921E2A" w:rsidRPr="00690188" w:rsidTr="00921E2A">
        <w:trPr>
          <w:trHeight w:val="300"/>
        </w:trPr>
        <w:tc>
          <w:tcPr>
            <w:tcW w:w="1923" w:type="dxa"/>
            <w:tcBorders>
              <w:top w:val="nil"/>
              <w:left w:val="single" w:sz="8" w:space="0" w:color="auto"/>
              <w:bottom w:val="single" w:sz="4" w:space="0" w:color="8064A2"/>
              <w:right w:val="nil"/>
            </w:tcBorders>
            <w:shd w:val="clear" w:color="E5E0EC" w:fill="E5E0EC"/>
            <w:noWrap/>
            <w:vAlign w:val="bottom"/>
            <w:hideMark/>
          </w:tcPr>
          <w:p w:rsidR="00921E2A" w:rsidRPr="00690188" w:rsidRDefault="00921E2A" w:rsidP="00690188">
            <w:pPr>
              <w:spacing w:after="0" w:line="240" w:lineRule="auto"/>
              <w:jc w:val="center"/>
              <w:rPr>
                <w:rFonts w:ascii="Calibri" w:eastAsia="Times New Roman" w:hAnsi="Calibri" w:cs="Times New Roman"/>
                <w:color w:val="000000"/>
                <w:lang w:eastAsia="en-GB"/>
              </w:rPr>
            </w:pPr>
            <w:r w:rsidRPr="00690188">
              <w:rPr>
                <w:rFonts w:ascii="Calibri" w:eastAsia="Times New Roman" w:hAnsi="Calibri" w:cs="Times New Roman"/>
                <w:color w:val="000000"/>
                <w:lang w:eastAsia="en-GB"/>
              </w:rPr>
              <w:t>2014</w:t>
            </w:r>
          </w:p>
        </w:tc>
        <w:tc>
          <w:tcPr>
            <w:tcW w:w="2800" w:type="dxa"/>
            <w:tcBorders>
              <w:top w:val="nil"/>
              <w:left w:val="single" w:sz="8" w:space="0" w:color="auto"/>
              <w:bottom w:val="single" w:sz="4" w:space="0" w:color="8064A2"/>
              <w:right w:val="single" w:sz="8" w:space="0" w:color="auto"/>
            </w:tcBorders>
            <w:shd w:val="clear" w:color="E5E0EC" w:fill="E5E0EC"/>
            <w:noWrap/>
            <w:vAlign w:val="bottom"/>
            <w:hideMark/>
          </w:tcPr>
          <w:p w:rsidR="00921E2A" w:rsidRPr="00690188" w:rsidRDefault="00921E2A" w:rsidP="00690188">
            <w:pPr>
              <w:spacing w:after="0" w:line="240" w:lineRule="auto"/>
              <w:jc w:val="center"/>
              <w:rPr>
                <w:rFonts w:ascii="Calibri" w:eastAsia="Times New Roman" w:hAnsi="Calibri" w:cs="Times New Roman"/>
                <w:color w:val="000000"/>
                <w:lang w:eastAsia="en-GB"/>
              </w:rPr>
            </w:pPr>
            <w:r w:rsidRPr="00690188">
              <w:rPr>
                <w:rFonts w:ascii="Calibri" w:eastAsia="Times New Roman" w:hAnsi="Calibri" w:cs="Times New Roman"/>
                <w:color w:val="000000"/>
                <w:lang w:eastAsia="en-GB"/>
              </w:rPr>
              <w:t>11</w:t>
            </w:r>
          </w:p>
        </w:tc>
      </w:tr>
      <w:tr w:rsidR="00921E2A" w:rsidRPr="00690188" w:rsidTr="00921E2A">
        <w:trPr>
          <w:trHeight w:val="300"/>
        </w:trPr>
        <w:tc>
          <w:tcPr>
            <w:tcW w:w="1923" w:type="dxa"/>
            <w:tcBorders>
              <w:top w:val="nil"/>
              <w:left w:val="single" w:sz="8" w:space="0" w:color="auto"/>
              <w:bottom w:val="single" w:sz="4" w:space="0" w:color="8064A2"/>
              <w:right w:val="nil"/>
            </w:tcBorders>
            <w:shd w:val="clear" w:color="auto" w:fill="auto"/>
            <w:noWrap/>
            <w:vAlign w:val="bottom"/>
            <w:hideMark/>
          </w:tcPr>
          <w:p w:rsidR="00921E2A" w:rsidRPr="00690188" w:rsidRDefault="00921E2A" w:rsidP="00690188">
            <w:pPr>
              <w:spacing w:after="0" w:line="240" w:lineRule="auto"/>
              <w:jc w:val="center"/>
              <w:rPr>
                <w:rFonts w:ascii="Calibri" w:eastAsia="Times New Roman" w:hAnsi="Calibri" w:cs="Times New Roman"/>
                <w:color w:val="000000"/>
                <w:lang w:eastAsia="en-GB"/>
              </w:rPr>
            </w:pPr>
            <w:r w:rsidRPr="00690188">
              <w:rPr>
                <w:rFonts w:ascii="Calibri" w:eastAsia="Times New Roman" w:hAnsi="Calibri" w:cs="Times New Roman"/>
                <w:color w:val="000000"/>
                <w:lang w:eastAsia="en-GB"/>
              </w:rPr>
              <w:t>2015</w:t>
            </w:r>
          </w:p>
        </w:tc>
        <w:tc>
          <w:tcPr>
            <w:tcW w:w="2800" w:type="dxa"/>
            <w:tcBorders>
              <w:top w:val="nil"/>
              <w:left w:val="single" w:sz="8" w:space="0" w:color="auto"/>
              <w:bottom w:val="single" w:sz="4" w:space="0" w:color="8064A2"/>
              <w:right w:val="single" w:sz="8" w:space="0" w:color="auto"/>
            </w:tcBorders>
            <w:shd w:val="clear" w:color="auto" w:fill="auto"/>
            <w:noWrap/>
            <w:vAlign w:val="bottom"/>
            <w:hideMark/>
          </w:tcPr>
          <w:p w:rsidR="00921E2A" w:rsidRPr="00690188" w:rsidRDefault="00921E2A" w:rsidP="00690188">
            <w:pPr>
              <w:spacing w:after="0" w:line="240" w:lineRule="auto"/>
              <w:jc w:val="center"/>
              <w:rPr>
                <w:rFonts w:ascii="Calibri" w:eastAsia="Times New Roman" w:hAnsi="Calibri" w:cs="Times New Roman"/>
                <w:color w:val="000000"/>
                <w:lang w:eastAsia="en-GB"/>
              </w:rPr>
            </w:pPr>
            <w:r w:rsidRPr="00690188">
              <w:rPr>
                <w:rFonts w:ascii="Calibri" w:eastAsia="Times New Roman" w:hAnsi="Calibri" w:cs="Times New Roman"/>
                <w:color w:val="000000"/>
                <w:lang w:eastAsia="en-GB"/>
              </w:rPr>
              <w:t>8</w:t>
            </w:r>
          </w:p>
        </w:tc>
      </w:tr>
      <w:tr w:rsidR="00921E2A" w:rsidRPr="00690188" w:rsidTr="00921E2A">
        <w:trPr>
          <w:trHeight w:val="315"/>
        </w:trPr>
        <w:tc>
          <w:tcPr>
            <w:tcW w:w="1923" w:type="dxa"/>
            <w:tcBorders>
              <w:top w:val="nil"/>
              <w:left w:val="single" w:sz="8" w:space="0" w:color="auto"/>
              <w:bottom w:val="single" w:sz="8" w:space="0" w:color="auto"/>
              <w:right w:val="nil"/>
            </w:tcBorders>
            <w:shd w:val="clear" w:color="E5E0EC" w:fill="E5E0EC"/>
            <w:noWrap/>
            <w:vAlign w:val="bottom"/>
            <w:hideMark/>
          </w:tcPr>
          <w:p w:rsidR="00921E2A" w:rsidRPr="00690188" w:rsidRDefault="00921E2A" w:rsidP="00690188">
            <w:pPr>
              <w:spacing w:after="0" w:line="240" w:lineRule="auto"/>
              <w:jc w:val="center"/>
              <w:rPr>
                <w:rFonts w:ascii="Calibri" w:eastAsia="Times New Roman" w:hAnsi="Calibri" w:cs="Times New Roman"/>
                <w:color w:val="000000"/>
                <w:lang w:eastAsia="en-GB"/>
              </w:rPr>
            </w:pPr>
            <w:r w:rsidRPr="00690188">
              <w:rPr>
                <w:rFonts w:ascii="Calibri" w:eastAsia="Times New Roman" w:hAnsi="Calibri" w:cs="Times New Roman"/>
                <w:color w:val="000000"/>
                <w:lang w:eastAsia="en-GB"/>
              </w:rPr>
              <w:t>2016</w:t>
            </w:r>
          </w:p>
        </w:tc>
        <w:tc>
          <w:tcPr>
            <w:tcW w:w="2800" w:type="dxa"/>
            <w:tcBorders>
              <w:top w:val="nil"/>
              <w:left w:val="single" w:sz="8" w:space="0" w:color="auto"/>
              <w:bottom w:val="single" w:sz="8" w:space="0" w:color="auto"/>
              <w:right w:val="single" w:sz="8" w:space="0" w:color="auto"/>
            </w:tcBorders>
            <w:shd w:val="clear" w:color="E5E0EC" w:fill="E5E0EC"/>
            <w:noWrap/>
            <w:vAlign w:val="bottom"/>
            <w:hideMark/>
          </w:tcPr>
          <w:p w:rsidR="00921E2A" w:rsidRPr="00690188" w:rsidRDefault="00921E2A" w:rsidP="00690188">
            <w:pPr>
              <w:spacing w:after="0" w:line="240" w:lineRule="auto"/>
              <w:jc w:val="center"/>
              <w:rPr>
                <w:rFonts w:ascii="Calibri" w:eastAsia="Times New Roman" w:hAnsi="Calibri" w:cs="Times New Roman"/>
                <w:color w:val="000000"/>
                <w:lang w:eastAsia="en-GB"/>
              </w:rPr>
            </w:pPr>
            <w:r w:rsidRPr="00690188">
              <w:rPr>
                <w:rFonts w:ascii="Calibri" w:eastAsia="Times New Roman" w:hAnsi="Calibri" w:cs="Times New Roman"/>
                <w:color w:val="000000"/>
                <w:lang w:eastAsia="en-GB"/>
              </w:rPr>
              <w:t>4</w:t>
            </w:r>
          </w:p>
        </w:tc>
      </w:tr>
    </w:tbl>
    <w:p w:rsidR="00462AD8" w:rsidRDefault="00462AD8" w:rsidP="00252FFB">
      <w:pPr>
        <w:rPr>
          <w:rFonts w:ascii="Arial" w:hAnsi="Arial" w:cs="Arial"/>
        </w:rPr>
      </w:pPr>
    </w:p>
    <w:p w:rsidR="00462AD8" w:rsidRDefault="00690188" w:rsidP="00252FFB">
      <w:pPr>
        <w:rPr>
          <w:rFonts w:ascii="Arial" w:hAnsi="Arial" w:cs="Arial"/>
        </w:rPr>
      </w:pPr>
      <w:r>
        <w:rPr>
          <w:rFonts w:ascii="Arial" w:hAnsi="Arial" w:cs="Arial"/>
        </w:rPr>
        <w:t>Included within the “</w:t>
      </w:r>
      <w:r w:rsidR="005929DD">
        <w:rPr>
          <w:rFonts w:ascii="Arial" w:hAnsi="Arial" w:cs="Arial"/>
        </w:rPr>
        <w:t>Fundraising</w:t>
      </w:r>
      <w:r>
        <w:rPr>
          <w:rFonts w:ascii="Arial" w:hAnsi="Arial" w:cs="Arial"/>
        </w:rPr>
        <w:t>” complaint category, we received a small number of complaints directly from the Telephone Preference Service during 2016. As can be seen from the table above, this has continued to decline significantly over the last three years.</w:t>
      </w:r>
    </w:p>
    <w:p w:rsidR="00252FFB" w:rsidRDefault="00F73E67" w:rsidP="009D26C7">
      <w:pPr>
        <w:jc w:val="both"/>
        <w:rPr>
          <w:rFonts w:ascii="Arial" w:hAnsi="Arial" w:cs="Arial"/>
        </w:rPr>
      </w:pPr>
      <w:r>
        <w:rPr>
          <w:rFonts w:ascii="Arial" w:hAnsi="Arial" w:cs="Arial"/>
        </w:rPr>
        <w:t>Underlying drivers for the areas of greatest improvement are:</w:t>
      </w:r>
    </w:p>
    <w:p w:rsidR="00F73E67" w:rsidRDefault="00F73E67" w:rsidP="009D26C7">
      <w:pPr>
        <w:pStyle w:val="ListParagraph"/>
        <w:numPr>
          <w:ilvl w:val="0"/>
          <w:numId w:val="5"/>
        </w:numPr>
        <w:jc w:val="both"/>
        <w:rPr>
          <w:rFonts w:ascii="Arial" w:hAnsi="Arial" w:cs="Arial"/>
        </w:rPr>
      </w:pPr>
      <w:r>
        <w:rPr>
          <w:rFonts w:ascii="Arial" w:hAnsi="Arial" w:cs="Arial"/>
        </w:rPr>
        <w:t xml:space="preserve">Door to door: we decided not to </w:t>
      </w:r>
      <w:r w:rsidR="009D26C7">
        <w:rPr>
          <w:rFonts w:ascii="Arial" w:hAnsi="Arial" w:cs="Arial"/>
        </w:rPr>
        <w:t>conduct</w:t>
      </w:r>
      <w:r>
        <w:rPr>
          <w:rFonts w:ascii="Arial" w:hAnsi="Arial" w:cs="Arial"/>
        </w:rPr>
        <w:t xml:space="preserve"> any door to door fundraising in 2016-17, focussing our </w:t>
      </w:r>
      <w:r w:rsidR="00C23512">
        <w:rPr>
          <w:rFonts w:ascii="Arial" w:hAnsi="Arial" w:cs="Arial"/>
        </w:rPr>
        <w:t>efforts</w:t>
      </w:r>
      <w:r>
        <w:rPr>
          <w:rFonts w:ascii="Arial" w:hAnsi="Arial" w:cs="Arial"/>
        </w:rPr>
        <w:t xml:space="preserve"> instead on street fundraising and on publicising our new lottery </w:t>
      </w:r>
      <w:r w:rsidR="00C23512">
        <w:rPr>
          <w:rFonts w:ascii="Arial" w:hAnsi="Arial" w:cs="Arial"/>
        </w:rPr>
        <w:t>activities</w:t>
      </w:r>
      <w:r>
        <w:rPr>
          <w:rFonts w:ascii="Arial" w:hAnsi="Arial" w:cs="Arial"/>
        </w:rPr>
        <w:t>.</w:t>
      </w:r>
    </w:p>
    <w:p w:rsidR="00F73E67" w:rsidRDefault="00F73E67" w:rsidP="009D26C7">
      <w:pPr>
        <w:pStyle w:val="ListParagraph"/>
        <w:numPr>
          <w:ilvl w:val="0"/>
          <w:numId w:val="5"/>
        </w:numPr>
        <w:jc w:val="both"/>
        <w:rPr>
          <w:rFonts w:ascii="Arial" w:hAnsi="Arial" w:cs="Arial"/>
        </w:rPr>
      </w:pPr>
      <w:r>
        <w:rPr>
          <w:rFonts w:ascii="Arial" w:hAnsi="Arial" w:cs="Arial"/>
        </w:rPr>
        <w:t xml:space="preserve">There has been continuous improvement to the online shop website, giving us a more stable platform </w:t>
      </w:r>
      <w:proofErr w:type="spellStart"/>
      <w:r w:rsidR="009D26C7">
        <w:rPr>
          <w:rFonts w:ascii="Arial" w:hAnsi="Arial" w:cs="Arial"/>
        </w:rPr>
        <w:t xml:space="preserve">meaning </w:t>
      </w:r>
      <w:r>
        <w:rPr>
          <w:rFonts w:ascii="Arial" w:hAnsi="Arial" w:cs="Arial"/>
        </w:rPr>
        <w:t>less</w:t>
      </w:r>
      <w:proofErr w:type="spellEnd"/>
      <w:r>
        <w:rPr>
          <w:rFonts w:ascii="Arial" w:hAnsi="Arial" w:cs="Arial"/>
        </w:rPr>
        <w:t xml:space="preserve"> issues arising. </w:t>
      </w:r>
    </w:p>
    <w:p w:rsidR="00F73E67" w:rsidRPr="00573B1B" w:rsidRDefault="00F73E67" w:rsidP="009D26C7">
      <w:pPr>
        <w:pStyle w:val="ListParagraph"/>
        <w:numPr>
          <w:ilvl w:val="0"/>
          <w:numId w:val="5"/>
        </w:numPr>
        <w:jc w:val="both"/>
        <w:rPr>
          <w:rFonts w:ascii="Arial" w:hAnsi="Arial" w:cs="Arial"/>
        </w:rPr>
      </w:pPr>
      <w:r w:rsidRPr="00573B1B">
        <w:rPr>
          <w:rFonts w:ascii="Arial" w:hAnsi="Arial" w:cs="Arial"/>
        </w:rPr>
        <w:t xml:space="preserve">We undertook less telemarketing work.  </w:t>
      </w:r>
      <w:r w:rsidR="00EC2C74" w:rsidRPr="00573B1B">
        <w:rPr>
          <w:rFonts w:ascii="Arial" w:hAnsi="Arial" w:cs="Arial"/>
        </w:rPr>
        <w:t xml:space="preserve">As can be seen in the data </w:t>
      </w:r>
      <w:r w:rsidR="005929DD">
        <w:rPr>
          <w:rFonts w:ascii="Arial" w:hAnsi="Arial" w:cs="Arial"/>
        </w:rPr>
        <w:t>table</w:t>
      </w:r>
      <w:r w:rsidR="0048787F">
        <w:rPr>
          <w:rFonts w:ascii="Arial" w:hAnsi="Arial" w:cs="Arial"/>
        </w:rPr>
        <w:t xml:space="preserve"> above</w:t>
      </w:r>
      <w:r w:rsidR="00EC2C74" w:rsidRPr="00573B1B">
        <w:rPr>
          <w:rFonts w:ascii="Arial" w:hAnsi="Arial" w:cs="Arial"/>
        </w:rPr>
        <w:t>, whilst we carried out significantly less telemarketing activity, we also saw a significant reduction in the actual complaint rate – that being the number of complaints compared to the number of calls made.</w:t>
      </w:r>
    </w:p>
    <w:p w:rsidR="00F73E67" w:rsidRPr="00F73E67" w:rsidRDefault="00F73E67" w:rsidP="00F73E67">
      <w:pPr>
        <w:pStyle w:val="ListParagraph"/>
        <w:rPr>
          <w:rFonts w:ascii="Arial" w:hAnsi="Arial" w:cs="Arial"/>
          <w:highlight w:val="yellow"/>
        </w:rPr>
      </w:pPr>
    </w:p>
    <w:p w:rsidR="00F8604C" w:rsidRDefault="00F8604C">
      <w:pPr>
        <w:rPr>
          <w:rFonts w:ascii="Arial" w:hAnsi="Arial" w:cs="Arial"/>
          <w:b/>
          <w:i/>
        </w:rPr>
      </w:pPr>
      <w:r>
        <w:rPr>
          <w:rFonts w:ascii="Arial" w:hAnsi="Arial" w:cs="Arial"/>
          <w:b/>
          <w:i/>
        </w:rPr>
        <w:br w:type="page"/>
      </w:r>
    </w:p>
    <w:p w:rsidR="00690188" w:rsidRPr="00032C39" w:rsidRDefault="007D2F04" w:rsidP="00252FFB">
      <w:pPr>
        <w:jc w:val="both"/>
        <w:rPr>
          <w:rFonts w:ascii="Arial" w:hAnsi="Arial" w:cs="Arial"/>
          <w:b/>
          <w:i/>
        </w:rPr>
      </w:pPr>
      <w:r w:rsidRPr="00032C39">
        <w:rPr>
          <w:rFonts w:ascii="Arial" w:hAnsi="Arial" w:cs="Arial"/>
          <w:b/>
          <w:i/>
        </w:rPr>
        <w:lastRenderedPageBreak/>
        <w:t>Fundraising Complaint</w:t>
      </w:r>
      <w:r w:rsidR="00EC2C74" w:rsidRPr="00032C39">
        <w:rPr>
          <w:rFonts w:ascii="Arial" w:hAnsi="Arial" w:cs="Arial"/>
          <w:b/>
          <w:i/>
        </w:rPr>
        <w:t xml:space="preserve"> Rates</w:t>
      </w:r>
    </w:p>
    <w:p w:rsidR="00690188" w:rsidRPr="00032C39" w:rsidRDefault="00690188" w:rsidP="00252FFB">
      <w:pPr>
        <w:jc w:val="both"/>
        <w:rPr>
          <w:rFonts w:ascii="Arial" w:hAnsi="Arial" w:cs="Arial"/>
        </w:rPr>
      </w:pPr>
      <w:r w:rsidRPr="00032C39">
        <w:rPr>
          <w:rFonts w:ascii="Arial" w:hAnsi="Arial" w:cs="Arial"/>
        </w:rPr>
        <w:t xml:space="preserve">Our annual return to the Fundraising Regulator (and </w:t>
      </w:r>
      <w:r w:rsidR="00BA479C" w:rsidRPr="00032C39">
        <w:rPr>
          <w:rFonts w:ascii="Arial" w:hAnsi="Arial" w:cs="Arial"/>
        </w:rPr>
        <w:t>previously</w:t>
      </w:r>
      <w:r w:rsidRPr="00032C39">
        <w:rPr>
          <w:rFonts w:ascii="Arial" w:hAnsi="Arial" w:cs="Arial"/>
        </w:rPr>
        <w:t xml:space="preserve"> to the Fundraising Standards Board) </w:t>
      </w:r>
      <w:r w:rsidR="00BA479C" w:rsidRPr="00032C39">
        <w:rPr>
          <w:rFonts w:ascii="Arial" w:hAnsi="Arial" w:cs="Arial"/>
        </w:rPr>
        <w:t>enables us to monitor complaint rates for each of the key fundraising methods. As can be seen in the table below, in the two areas most complained about (street fundraising and telemarketing) we have seen drops in both complaint rates.</w:t>
      </w:r>
    </w:p>
    <w:tbl>
      <w:tblPr>
        <w:tblW w:w="5973" w:type="dxa"/>
        <w:tblInd w:w="89" w:type="dxa"/>
        <w:tblLook w:val="04A0"/>
      </w:tblPr>
      <w:tblGrid>
        <w:gridCol w:w="2287"/>
        <w:gridCol w:w="1843"/>
        <w:gridCol w:w="1843"/>
      </w:tblGrid>
      <w:tr w:rsidR="0048787F" w:rsidRPr="00BA479C" w:rsidTr="0048787F">
        <w:trPr>
          <w:trHeight w:val="705"/>
        </w:trPr>
        <w:tc>
          <w:tcPr>
            <w:tcW w:w="22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8787F" w:rsidRPr="00032C39" w:rsidRDefault="0048787F" w:rsidP="00BA479C">
            <w:pPr>
              <w:spacing w:after="0" w:line="240" w:lineRule="auto"/>
              <w:rPr>
                <w:rFonts w:ascii="Calibri" w:eastAsia="Times New Roman" w:hAnsi="Calibri" w:cs="Times New Roman"/>
                <w:b/>
                <w:color w:val="000000"/>
                <w:lang w:eastAsia="en-GB"/>
              </w:rPr>
            </w:pPr>
            <w:r w:rsidRPr="00032C39">
              <w:rPr>
                <w:rFonts w:ascii="Calibri" w:eastAsia="Times New Roman" w:hAnsi="Calibri" w:cs="Times New Roman"/>
                <w:b/>
                <w:color w:val="000000"/>
                <w:lang w:eastAsia="en-GB"/>
              </w:rPr>
              <w:t>Regulator Reported Complaints</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48787F" w:rsidRPr="00032C39" w:rsidRDefault="0048787F" w:rsidP="00BA479C">
            <w:pPr>
              <w:spacing w:after="0" w:line="240" w:lineRule="auto"/>
              <w:rPr>
                <w:rFonts w:ascii="Calibri" w:eastAsia="Times New Roman" w:hAnsi="Calibri" w:cs="Times New Roman"/>
                <w:b/>
                <w:color w:val="000000"/>
                <w:lang w:eastAsia="en-GB"/>
              </w:rPr>
            </w:pPr>
            <w:r w:rsidRPr="00032C39">
              <w:rPr>
                <w:rFonts w:ascii="Calibri" w:eastAsia="Times New Roman" w:hAnsi="Calibri" w:cs="Times New Roman"/>
                <w:b/>
                <w:color w:val="000000"/>
                <w:lang w:eastAsia="en-GB"/>
              </w:rPr>
              <w:t>2015 Complaint Rate</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8787F" w:rsidRPr="00032C39" w:rsidRDefault="0048787F" w:rsidP="00BA479C">
            <w:pPr>
              <w:spacing w:after="0" w:line="240" w:lineRule="auto"/>
              <w:rPr>
                <w:rFonts w:ascii="Calibri" w:eastAsia="Times New Roman" w:hAnsi="Calibri" w:cs="Times New Roman"/>
                <w:b/>
                <w:color w:val="000000"/>
                <w:lang w:eastAsia="en-GB"/>
              </w:rPr>
            </w:pPr>
            <w:r w:rsidRPr="00032C39">
              <w:rPr>
                <w:rFonts w:ascii="Calibri" w:eastAsia="Times New Roman" w:hAnsi="Calibri" w:cs="Times New Roman"/>
                <w:b/>
                <w:color w:val="000000"/>
                <w:lang w:eastAsia="en-GB"/>
              </w:rPr>
              <w:t xml:space="preserve">2016 Complaint Rate </w:t>
            </w:r>
          </w:p>
        </w:tc>
      </w:tr>
      <w:tr w:rsidR="0048787F" w:rsidRPr="00BA479C" w:rsidTr="0048787F">
        <w:trPr>
          <w:trHeight w:val="300"/>
        </w:trPr>
        <w:tc>
          <w:tcPr>
            <w:tcW w:w="2287" w:type="dxa"/>
            <w:tcBorders>
              <w:top w:val="nil"/>
              <w:left w:val="single" w:sz="8" w:space="0" w:color="auto"/>
              <w:bottom w:val="single" w:sz="4" w:space="0" w:color="auto"/>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Door to Door</w:t>
            </w:r>
          </w:p>
        </w:tc>
        <w:tc>
          <w:tcPr>
            <w:tcW w:w="1843" w:type="dxa"/>
            <w:tcBorders>
              <w:top w:val="nil"/>
              <w:left w:val="nil"/>
              <w:bottom w:val="single" w:sz="4"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0.0201%</w:t>
            </w:r>
          </w:p>
        </w:tc>
        <w:tc>
          <w:tcPr>
            <w:tcW w:w="1843" w:type="dxa"/>
            <w:tcBorders>
              <w:top w:val="nil"/>
              <w:left w:val="single" w:sz="8" w:space="0" w:color="auto"/>
              <w:bottom w:val="nil"/>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w:t>
            </w:r>
          </w:p>
        </w:tc>
      </w:tr>
      <w:tr w:rsidR="0048787F" w:rsidRPr="00BA479C" w:rsidTr="0048787F">
        <w:trPr>
          <w:trHeight w:val="300"/>
        </w:trPr>
        <w:tc>
          <w:tcPr>
            <w:tcW w:w="2287" w:type="dxa"/>
            <w:tcBorders>
              <w:top w:val="nil"/>
              <w:left w:val="single" w:sz="8" w:space="0" w:color="auto"/>
              <w:bottom w:val="single" w:sz="4" w:space="0" w:color="auto"/>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Email Marketing</w:t>
            </w:r>
          </w:p>
        </w:tc>
        <w:tc>
          <w:tcPr>
            <w:tcW w:w="1843" w:type="dxa"/>
            <w:tcBorders>
              <w:top w:val="nil"/>
              <w:left w:val="nil"/>
              <w:bottom w:val="single" w:sz="4"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0.0007%</w:t>
            </w:r>
          </w:p>
        </w:tc>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0.0005%</w:t>
            </w:r>
          </w:p>
        </w:tc>
      </w:tr>
      <w:tr w:rsidR="0048787F" w:rsidRPr="00BA479C" w:rsidTr="0048787F">
        <w:trPr>
          <w:trHeight w:val="300"/>
        </w:trPr>
        <w:tc>
          <w:tcPr>
            <w:tcW w:w="2287" w:type="dxa"/>
            <w:tcBorders>
              <w:top w:val="nil"/>
              <w:left w:val="single" w:sz="8" w:space="0" w:color="auto"/>
              <w:bottom w:val="single" w:sz="4" w:space="0" w:color="auto"/>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Private Site Fundraising</w:t>
            </w:r>
          </w:p>
        </w:tc>
        <w:tc>
          <w:tcPr>
            <w:tcW w:w="1843" w:type="dxa"/>
            <w:tcBorders>
              <w:top w:val="nil"/>
              <w:left w:val="nil"/>
              <w:bottom w:val="single" w:sz="4"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0.7092%</w:t>
            </w:r>
          </w:p>
        </w:tc>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0.0000%</w:t>
            </w:r>
          </w:p>
        </w:tc>
      </w:tr>
      <w:tr w:rsidR="0048787F" w:rsidRPr="00BA479C" w:rsidTr="0048787F">
        <w:trPr>
          <w:trHeight w:val="300"/>
        </w:trPr>
        <w:tc>
          <w:tcPr>
            <w:tcW w:w="2287" w:type="dxa"/>
            <w:tcBorders>
              <w:top w:val="nil"/>
              <w:left w:val="single" w:sz="8" w:space="0" w:color="auto"/>
              <w:bottom w:val="single" w:sz="4" w:space="0" w:color="auto"/>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SMS</w:t>
            </w:r>
          </w:p>
        </w:tc>
        <w:tc>
          <w:tcPr>
            <w:tcW w:w="1843" w:type="dxa"/>
            <w:tcBorders>
              <w:top w:val="nil"/>
              <w:left w:val="nil"/>
              <w:bottom w:val="single" w:sz="4"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0.0012%</w:t>
            </w:r>
          </w:p>
        </w:tc>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0.0013%</w:t>
            </w:r>
          </w:p>
        </w:tc>
      </w:tr>
      <w:tr w:rsidR="0048787F" w:rsidRPr="00BA479C" w:rsidTr="0048787F">
        <w:trPr>
          <w:trHeight w:val="300"/>
        </w:trPr>
        <w:tc>
          <w:tcPr>
            <w:tcW w:w="2287" w:type="dxa"/>
            <w:tcBorders>
              <w:top w:val="nil"/>
              <w:left w:val="single" w:sz="8" w:space="0" w:color="auto"/>
              <w:bottom w:val="single" w:sz="4" w:space="0" w:color="auto"/>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Street Fundraising</w:t>
            </w:r>
          </w:p>
        </w:tc>
        <w:tc>
          <w:tcPr>
            <w:tcW w:w="1843" w:type="dxa"/>
            <w:tcBorders>
              <w:top w:val="nil"/>
              <w:left w:val="nil"/>
              <w:bottom w:val="single" w:sz="4"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1.0967%</w:t>
            </w:r>
          </w:p>
        </w:tc>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1.0647%</w:t>
            </w:r>
          </w:p>
        </w:tc>
      </w:tr>
      <w:tr w:rsidR="0048787F" w:rsidRPr="00BA479C" w:rsidTr="0048787F">
        <w:trPr>
          <w:trHeight w:val="300"/>
        </w:trPr>
        <w:tc>
          <w:tcPr>
            <w:tcW w:w="2287" w:type="dxa"/>
            <w:tcBorders>
              <w:top w:val="nil"/>
              <w:left w:val="single" w:sz="8" w:space="0" w:color="auto"/>
              <w:bottom w:val="single" w:sz="4" w:space="0" w:color="auto"/>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Supporter Mail</w:t>
            </w:r>
          </w:p>
        </w:tc>
        <w:tc>
          <w:tcPr>
            <w:tcW w:w="1843" w:type="dxa"/>
            <w:tcBorders>
              <w:top w:val="nil"/>
              <w:left w:val="nil"/>
              <w:bottom w:val="single" w:sz="4"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0.0099%</w:t>
            </w:r>
          </w:p>
        </w:tc>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0.0080%</w:t>
            </w:r>
          </w:p>
        </w:tc>
      </w:tr>
      <w:tr w:rsidR="0048787F" w:rsidRPr="00BA479C" w:rsidTr="0048787F">
        <w:trPr>
          <w:trHeight w:val="300"/>
        </w:trPr>
        <w:tc>
          <w:tcPr>
            <w:tcW w:w="2287" w:type="dxa"/>
            <w:tcBorders>
              <w:top w:val="nil"/>
              <w:left w:val="single" w:sz="8" w:space="0" w:color="auto"/>
              <w:bottom w:val="single" w:sz="4" w:space="0" w:color="auto"/>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Telemarketing</w:t>
            </w:r>
          </w:p>
        </w:tc>
        <w:tc>
          <w:tcPr>
            <w:tcW w:w="1843" w:type="dxa"/>
            <w:tcBorders>
              <w:top w:val="nil"/>
              <w:left w:val="nil"/>
              <w:bottom w:val="single" w:sz="4"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0.0663%</w:t>
            </w:r>
          </w:p>
        </w:tc>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0.0369%</w:t>
            </w:r>
          </w:p>
        </w:tc>
      </w:tr>
      <w:tr w:rsidR="0048787F" w:rsidRPr="00BA479C" w:rsidTr="0048787F">
        <w:trPr>
          <w:trHeight w:val="300"/>
        </w:trPr>
        <w:tc>
          <w:tcPr>
            <w:tcW w:w="2287" w:type="dxa"/>
            <w:tcBorders>
              <w:top w:val="nil"/>
              <w:left w:val="single" w:sz="8" w:space="0" w:color="auto"/>
              <w:bottom w:val="single" w:sz="4" w:space="0" w:color="auto"/>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TV</w:t>
            </w:r>
          </w:p>
        </w:tc>
        <w:tc>
          <w:tcPr>
            <w:tcW w:w="1843" w:type="dxa"/>
            <w:tcBorders>
              <w:top w:val="nil"/>
              <w:left w:val="nil"/>
              <w:bottom w:val="single" w:sz="4"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0.0000%</w:t>
            </w:r>
          </w:p>
        </w:tc>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0.0000%</w:t>
            </w:r>
          </w:p>
        </w:tc>
      </w:tr>
      <w:tr w:rsidR="0048787F" w:rsidRPr="00BA479C" w:rsidTr="0048787F">
        <w:trPr>
          <w:trHeight w:val="300"/>
        </w:trPr>
        <w:tc>
          <w:tcPr>
            <w:tcW w:w="2287" w:type="dxa"/>
            <w:tcBorders>
              <w:top w:val="nil"/>
              <w:left w:val="single" w:sz="8" w:space="0" w:color="auto"/>
              <w:bottom w:val="nil"/>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Volunteer Fundraising</w:t>
            </w:r>
          </w:p>
        </w:tc>
        <w:tc>
          <w:tcPr>
            <w:tcW w:w="1843" w:type="dxa"/>
            <w:tcBorders>
              <w:top w:val="nil"/>
              <w:left w:val="nil"/>
              <w:bottom w:val="single" w:sz="4"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0.0346%</w:t>
            </w:r>
          </w:p>
        </w:tc>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0.8867%</w:t>
            </w:r>
          </w:p>
        </w:tc>
      </w:tr>
      <w:tr w:rsidR="0048787F" w:rsidRPr="00BA479C" w:rsidTr="0048787F">
        <w:trPr>
          <w:trHeight w:val="315"/>
        </w:trPr>
        <w:tc>
          <w:tcPr>
            <w:tcW w:w="228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8787F" w:rsidRPr="00BA479C" w:rsidRDefault="0048787F" w:rsidP="00BA479C">
            <w:pPr>
              <w:spacing w:after="0" w:line="240" w:lineRule="auto"/>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Web Marketing</w:t>
            </w:r>
          </w:p>
        </w:tc>
        <w:tc>
          <w:tcPr>
            <w:tcW w:w="1843" w:type="dxa"/>
            <w:tcBorders>
              <w:top w:val="nil"/>
              <w:left w:val="nil"/>
              <w:bottom w:val="single" w:sz="8"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0.0000%</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8787F" w:rsidRPr="00BA479C" w:rsidRDefault="0048787F" w:rsidP="0048787F">
            <w:pPr>
              <w:spacing w:after="0" w:line="240" w:lineRule="auto"/>
              <w:jc w:val="center"/>
              <w:rPr>
                <w:rFonts w:ascii="Calibri" w:eastAsia="Times New Roman" w:hAnsi="Calibri" w:cs="Times New Roman"/>
                <w:color w:val="000000"/>
                <w:lang w:eastAsia="en-GB"/>
              </w:rPr>
            </w:pPr>
            <w:r w:rsidRPr="00BA479C">
              <w:rPr>
                <w:rFonts w:ascii="Calibri" w:eastAsia="Times New Roman" w:hAnsi="Calibri" w:cs="Times New Roman"/>
                <w:color w:val="000000"/>
                <w:lang w:eastAsia="en-GB"/>
              </w:rPr>
              <w:t>0.0000%</w:t>
            </w:r>
          </w:p>
        </w:tc>
      </w:tr>
    </w:tbl>
    <w:p w:rsidR="0048787F" w:rsidRDefault="0048787F" w:rsidP="00252FFB">
      <w:pPr>
        <w:jc w:val="both"/>
        <w:rPr>
          <w:rFonts w:ascii="Arial" w:hAnsi="Arial" w:cs="Arial"/>
          <w:b/>
        </w:rPr>
      </w:pPr>
    </w:p>
    <w:p w:rsidR="00032C39" w:rsidRDefault="00032C39" w:rsidP="00252FFB">
      <w:pPr>
        <w:jc w:val="both"/>
        <w:rPr>
          <w:rFonts w:ascii="Arial" w:hAnsi="Arial" w:cs="Arial"/>
          <w:b/>
        </w:rPr>
      </w:pPr>
      <w:r>
        <w:rPr>
          <w:rFonts w:ascii="Arial" w:hAnsi="Arial" w:cs="Arial"/>
          <w:b/>
        </w:rPr>
        <w:t>Actions for 2017-18</w:t>
      </w:r>
    </w:p>
    <w:p w:rsidR="00032C39" w:rsidRPr="00032C39" w:rsidRDefault="00032C39" w:rsidP="00032C39">
      <w:pPr>
        <w:pStyle w:val="ListParagraph"/>
        <w:numPr>
          <w:ilvl w:val="0"/>
          <w:numId w:val="8"/>
        </w:numPr>
        <w:jc w:val="both"/>
        <w:rPr>
          <w:rFonts w:ascii="Arial" w:hAnsi="Arial" w:cs="Arial"/>
        </w:rPr>
      </w:pPr>
      <w:r w:rsidRPr="00032C39">
        <w:rPr>
          <w:rFonts w:ascii="Arial" w:hAnsi="Arial" w:cs="Arial"/>
        </w:rPr>
        <w:t>Supporter Relations to continue training for all Supporter Relations staff on Complaints and Vulnerable People processes, with training to be run at least twice a year and each staff member to attend at least once.</w:t>
      </w:r>
    </w:p>
    <w:p w:rsidR="00032C39" w:rsidRPr="00032C39" w:rsidRDefault="00032C39" w:rsidP="00032C39">
      <w:pPr>
        <w:pStyle w:val="ListParagraph"/>
        <w:numPr>
          <w:ilvl w:val="0"/>
          <w:numId w:val="8"/>
        </w:numPr>
        <w:jc w:val="both"/>
        <w:rPr>
          <w:rFonts w:ascii="Arial" w:hAnsi="Arial" w:cs="Arial"/>
        </w:rPr>
      </w:pPr>
      <w:r w:rsidRPr="00032C39">
        <w:rPr>
          <w:rFonts w:ascii="Arial" w:hAnsi="Arial" w:cs="Arial"/>
        </w:rPr>
        <w:t>Use the training team and the new quality management process to check on a regular basis (at least quarterly) feedback logged and actions taken.</w:t>
      </w:r>
    </w:p>
    <w:p w:rsidR="00032C39" w:rsidRPr="00032C39" w:rsidRDefault="00032C39" w:rsidP="00032C39">
      <w:pPr>
        <w:pStyle w:val="ListParagraph"/>
        <w:numPr>
          <w:ilvl w:val="0"/>
          <w:numId w:val="8"/>
        </w:numPr>
        <w:jc w:val="both"/>
        <w:rPr>
          <w:rFonts w:ascii="Arial" w:hAnsi="Arial" w:cs="Arial"/>
        </w:rPr>
      </w:pPr>
      <w:r w:rsidRPr="00032C39">
        <w:rPr>
          <w:rFonts w:ascii="Arial" w:hAnsi="Arial" w:cs="Arial"/>
        </w:rPr>
        <w:t>Continue to produce monthly reports for Fundraising Leadership Team and Compliance, and feed into post fundraising campaign wash up sessions.</w:t>
      </w:r>
    </w:p>
    <w:p w:rsidR="00032C39" w:rsidRPr="00032C39" w:rsidRDefault="00032C39" w:rsidP="00032C39">
      <w:pPr>
        <w:pStyle w:val="ListParagraph"/>
        <w:numPr>
          <w:ilvl w:val="0"/>
          <w:numId w:val="8"/>
        </w:numPr>
        <w:jc w:val="both"/>
        <w:rPr>
          <w:rFonts w:ascii="Arial" w:hAnsi="Arial" w:cs="Arial"/>
        </w:rPr>
      </w:pPr>
      <w:r w:rsidRPr="00032C39">
        <w:rPr>
          <w:rFonts w:ascii="Arial" w:hAnsi="Arial" w:cs="Arial"/>
        </w:rPr>
        <w:t>Working closely with Marketing Operations, provide to our Agency Relationship Lead a monthly breakdown of Fundraising Agency complaints, so that this can be used in Supplier reviews and action plans.</w:t>
      </w:r>
    </w:p>
    <w:p w:rsidR="00032C39" w:rsidRPr="00032C39" w:rsidRDefault="00032C39" w:rsidP="00032C39">
      <w:pPr>
        <w:pStyle w:val="ListParagraph"/>
        <w:numPr>
          <w:ilvl w:val="0"/>
          <w:numId w:val="8"/>
        </w:numPr>
        <w:jc w:val="both"/>
        <w:rPr>
          <w:rFonts w:ascii="Arial" w:hAnsi="Arial" w:cs="Arial"/>
        </w:rPr>
      </w:pPr>
      <w:r w:rsidRPr="00032C39">
        <w:rPr>
          <w:rFonts w:ascii="Arial" w:hAnsi="Arial" w:cs="Arial"/>
        </w:rPr>
        <w:t>Create a separate category in our system for Legacy and Gift Aid/Tag Your Bag to report on those areas in more detail.</w:t>
      </w:r>
    </w:p>
    <w:p w:rsidR="00032C39" w:rsidRPr="00032C39" w:rsidRDefault="00032C39" w:rsidP="00032C39">
      <w:pPr>
        <w:pStyle w:val="ListParagraph"/>
        <w:numPr>
          <w:ilvl w:val="0"/>
          <w:numId w:val="8"/>
        </w:numPr>
        <w:jc w:val="both"/>
        <w:rPr>
          <w:rFonts w:ascii="Arial" w:hAnsi="Arial" w:cs="Arial"/>
        </w:rPr>
      </w:pPr>
      <w:r w:rsidRPr="00032C39">
        <w:rPr>
          <w:rFonts w:ascii="Arial" w:hAnsi="Arial" w:cs="Arial"/>
        </w:rPr>
        <w:t>Continue to monitor complaints upheld &amp; not upheld and report on these trends within the existing reporting.</w:t>
      </w:r>
    </w:p>
    <w:p w:rsidR="00252FFB" w:rsidRPr="00CE7377" w:rsidRDefault="00252FFB" w:rsidP="00CE7377">
      <w:pPr>
        <w:pStyle w:val="ListParagraph"/>
        <w:numPr>
          <w:ilvl w:val="0"/>
          <w:numId w:val="12"/>
        </w:numPr>
        <w:jc w:val="both"/>
        <w:rPr>
          <w:rFonts w:ascii="Arial" w:hAnsi="Arial" w:cs="Arial"/>
        </w:rPr>
      </w:pPr>
      <w:r w:rsidRPr="00CE7377">
        <w:rPr>
          <w:rFonts w:ascii="Arial" w:hAnsi="Arial" w:cs="Arial"/>
        </w:rPr>
        <w:br w:type="page"/>
      </w:r>
    </w:p>
    <w:p w:rsidR="003A5732" w:rsidRPr="003A5732" w:rsidRDefault="001600CB" w:rsidP="00842B85">
      <w:pPr>
        <w:ind w:left="-567"/>
        <w:jc w:val="both"/>
        <w:rPr>
          <w:rFonts w:ascii="Arial" w:hAnsi="Arial" w:cs="Arial"/>
          <w:b/>
        </w:rPr>
      </w:pPr>
      <w:r>
        <w:rPr>
          <w:rFonts w:ascii="Arial" w:hAnsi="Arial" w:cs="Arial"/>
          <w:b/>
        </w:rPr>
        <w:lastRenderedPageBreak/>
        <w:t>Annex 1:</w:t>
      </w:r>
      <w:r>
        <w:rPr>
          <w:rFonts w:ascii="Arial" w:hAnsi="Arial" w:cs="Arial"/>
          <w:b/>
        </w:rPr>
        <w:tab/>
      </w:r>
      <w:r w:rsidR="00D3727A">
        <w:rPr>
          <w:rFonts w:ascii="Arial" w:hAnsi="Arial" w:cs="Arial"/>
          <w:b/>
        </w:rPr>
        <w:t>Progress</w:t>
      </w:r>
      <w:r w:rsidR="007947E7">
        <w:rPr>
          <w:rFonts w:ascii="Arial" w:hAnsi="Arial" w:cs="Arial"/>
          <w:b/>
        </w:rPr>
        <w:t xml:space="preserve"> Report on Complaints </w:t>
      </w:r>
      <w:r w:rsidR="003A5732" w:rsidRPr="003A5732">
        <w:rPr>
          <w:rFonts w:ascii="Arial" w:hAnsi="Arial" w:cs="Arial"/>
          <w:b/>
        </w:rPr>
        <w:t>Action Plan 2016</w:t>
      </w:r>
      <w:r w:rsidR="00D3727A">
        <w:rPr>
          <w:rFonts w:ascii="Arial" w:hAnsi="Arial" w:cs="Arial"/>
          <w:b/>
        </w:rPr>
        <w:t>-</w:t>
      </w:r>
      <w:r w:rsidR="003A5732" w:rsidRPr="003A5732">
        <w:rPr>
          <w:rFonts w:ascii="Arial" w:hAnsi="Arial" w:cs="Arial"/>
          <w:b/>
        </w:rPr>
        <w:t>17</w:t>
      </w:r>
      <w:r w:rsidR="00D3727A">
        <w:rPr>
          <w:rFonts w:ascii="Arial" w:hAnsi="Arial" w:cs="Arial"/>
          <w:b/>
        </w:rPr>
        <w:t xml:space="preserve"> </w:t>
      </w:r>
    </w:p>
    <w:tbl>
      <w:tblPr>
        <w:tblStyle w:val="TableGrid"/>
        <w:tblW w:w="10632" w:type="dxa"/>
        <w:tblInd w:w="-743" w:type="dxa"/>
        <w:tblLook w:val="04A0"/>
      </w:tblPr>
      <w:tblGrid>
        <w:gridCol w:w="851"/>
        <w:gridCol w:w="4536"/>
        <w:gridCol w:w="5245"/>
      </w:tblGrid>
      <w:tr w:rsidR="007C2A46" w:rsidRPr="003A5732" w:rsidTr="007C2A46">
        <w:trPr>
          <w:tblHeader/>
        </w:trPr>
        <w:tc>
          <w:tcPr>
            <w:tcW w:w="5387" w:type="dxa"/>
            <w:gridSpan w:val="2"/>
            <w:tcBorders>
              <w:bottom w:val="single" w:sz="4" w:space="0" w:color="auto"/>
            </w:tcBorders>
            <w:shd w:val="clear" w:color="auto" w:fill="D9D9D9" w:themeFill="background1" w:themeFillShade="D9"/>
          </w:tcPr>
          <w:p w:rsidR="007C2A46" w:rsidRPr="003A5732" w:rsidRDefault="007C2A46" w:rsidP="00D3727A">
            <w:pPr>
              <w:jc w:val="both"/>
              <w:rPr>
                <w:rFonts w:ascii="Arial" w:hAnsi="Arial" w:cs="Arial"/>
                <w:b/>
              </w:rPr>
            </w:pPr>
            <w:r>
              <w:rPr>
                <w:rFonts w:ascii="Arial" w:hAnsi="Arial" w:cs="Arial"/>
                <w:b/>
              </w:rPr>
              <w:t xml:space="preserve">Action </w:t>
            </w:r>
          </w:p>
        </w:tc>
        <w:tc>
          <w:tcPr>
            <w:tcW w:w="5245" w:type="dxa"/>
            <w:tcBorders>
              <w:bottom w:val="single" w:sz="4" w:space="0" w:color="auto"/>
            </w:tcBorders>
            <w:shd w:val="clear" w:color="auto" w:fill="D9D9D9" w:themeFill="background1" w:themeFillShade="D9"/>
          </w:tcPr>
          <w:p w:rsidR="007C2A46" w:rsidRPr="003A5732" w:rsidRDefault="00D3727A" w:rsidP="007C2A46">
            <w:pPr>
              <w:jc w:val="both"/>
              <w:rPr>
                <w:rFonts w:ascii="Arial" w:hAnsi="Arial" w:cs="Arial"/>
                <w:b/>
              </w:rPr>
            </w:pPr>
            <w:r>
              <w:rPr>
                <w:rFonts w:ascii="Arial" w:hAnsi="Arial" w:cs="Arial"/>
                <w:b/>
              </w:rPr>
              <w:t>Progress</w:t>
            </w:r>
          </w:p>
        </w:tc>
      </w:tr>
      <w:tr w:rsidR="0013133B" w:rsidRPr="003A5732" w:rsidTr="0013133B">
        <w:tc>
          <w:tcPr>
            <w:tcW w:w="10632" w:type="dxa"/>
            <w:gridSpan w:val="3"/>
            <w:shd w:val="clear" w:color="auto" w:fill="F2F2F2" w:themeFill="background1" w:themeFillShade="F2"/>
          </w:tcPr>
          <w:p w:rsidR="0013133B" w:rsidRPr="0013133B" w:rsidRDefault="0013133B" w:rsidP="007C2A46">
            <w:pPr>
              <w:jc w:val="both"/>
              <w:rPr>
                <w:rFonts w:ascii="Arial" w:hAnsi="Arial" w:cs="Arial"/>
                <w:b/>
              </w:rPr>
            </w:pPr>
            <w:r w:rsidRPr="0013133B">
              <w:rPr>
                <w:rFonts w:ascii="Arial" w:hAnsi="Arial" w:cs="Arial"/>
                <w:b/>
                <w:color w:val="181818"/>
                <w:w w:val="105"/>
              </w:rPr>
              <w:t>Complaints Group</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3A5732" w:rsidRDefault="0013133B" w:rsidP="003A282D">
            <w:pPr>
              <w:spacing w:before="100" w:beforeAutospacing="1" w:line="252" w:lineRule="auto"/>
              <w:ind w:left="102" w:hanging="3"/>
              <w:jc w:val="both"/>
              <w:rPr>
                <w:rFonts w:ascii="Arial" w:hAnsi="Arial" w:cs="Arial"/>
                <w:color w:val="181818"/>
                <w:w w:val="105"/>
              </w:rPr>
            </w:pPr>
            <w:r>
              <w:rPr>
                <w:rFonts w:ascii="Arial" w:hAnsi="Arial" w:cs="Arial"/>
                <w:color w:val="181818"/>
                <w:w w:val="105"/>
              </w:rPr>
              <w:t>Disseminate Global Complaints Policy</w:t>
            </w:r>
            <w:r w:rsidR="003A282D">
              <w:rPr>
                <w:rFonts w:ascii="Arial" w:hAnsi="Arial" w:cs="Arial"/>
                <w:color w:val="181818"/>
                <w:w w:val="105"/>
              </w:rPr>
              <w:t>, if and when published by OI</w:t>
            </w:r>
            <w:r>
              <w:rPr>
                <w:rFonts w:ascii="Arial" w:hAnsi="Arial" w:cs="Arial"/>
                <w:color w:val="181818"/>
                <w:w w:val="105"/>
              </w:rPr>
              <w:t xml:space="preserve">.  (Action in 2015/16 which it was not possible to undertake as the OI Complaints Policy had been stalled </w:t>
            </w:r>
            <w:r w:rsidRPr="007C2A46">
              <w:rPr>
                <w:rFonts w:ascii="Arial" w:hAnsi="Arial" w:cs="Arial"/>
              </w:rPr>
              <w:t>due to review and structural changes within OI.</w:t>
            </w:r>
            <w:r w:rsidR="003A282D">
              <w:rPr>
                <w:rFonts w:ascii="Arial" w:hAnsi="Arial" w:cs="Arial"/>
              </w:rPr>
              <w:t>)</w:t>
            </w:r>
            <w:r w:rsidRPr="007C2A46">
              <w:rPr>
                <w:rFonts w:ascii="Arial" w:hAnsi="Arial" w:cs="Arial"/>
              </w:rPr>
              <w:t xml:space="preserve">  </w:t>
            </w:r>
          </w:p>
        </w:tc>
        <w:tc>
          <w:tcPr>
            <w:tcW w:w="5245" w:type="dxa"/>
          </w:tcPr>
          <w:p w:rsidR="007C2A46" w:rsidRDefault="003A282D" w:rsidP="00705CD3">
            <w:pPr>
              <w:jc w:val="both"/>
              <w:rPr>
                <w:rFonts w:ascii="Arial" w:hAnsi="Arial" w:cs="Arial"/>
              </w:rPr>
            </w:pPr>
            <w:proofErr w:type="gramStart"/>
            <w:r>
              <w:rPr>
                <w:rFonts w:ascii="Arial" w:hAnsi="Arial" w:cs="Arial"/>
              </w:rPr>
              <w:t>None: a cross-federation Policy has not yet been developed</w:t>
            </w:r>
            <w:r w:rsidR="00705CD3">
              <w:rPr>
                <w:rFonts w:ascii="Arial" w:hAnsi="Arial" w:cs="Arial"/>
              </w:rPr>
              <w:t>.</w:t>
            </w:r>
            <w:proofErr w:type="gramEnd"/>
          </w:p>
        </w:tc>
      </w:tr>
      <w:tr w:rsidR="0013133B" w:rsidRPr="003A5732" w:rsidTr="0013133B">
        <w:tc>
          <w:tcPr>
            <w:tcW w:w="851" w:type="dxa"/>
            <w:tcBorders>
              <w:bottom w:val="single" w:sz="4" w:space="0" w:color="auto"/>
            </w:tcBorders>
          </w:tcPr>
          <w:p w:rsidR="0013133B" w:rsidRPr="003A5732" w:rsidRDefault="0013133B" w:rsidP="007C2A46">
            <w:pPr>
              <w:pStyle w:val="ListParagraph"/>
              <w:numPr>
                <w:ilvl w:val="0"/>
                <w:numId w:val="1"/>
              </w:numPr>
              <w:jc w:val="both"/>
              <w:rPr>
                <w:rFonts w:ascii="Arial" w:hAnsi="Arial" w:cs="Arial"/>
              </w:rPr>
            </w:pPr>
          </w:p>
        </w:tc>
        <w:tc>
          <w:tcPr>
            <w:tcW w:w="4536" w:type="dxa"/>
            <w:tcBorders>
              <w:bottom w:val="single" w:sz="4" w:space="0" w:color="auto"/>
            </w:tcBorders>
          </w:tcPr>
          <w:p w:rsidR="0013133B" w:rsidRDefault="0013133B" w:rsidP="007947E7">
            <w:pPr>
              <w:spacing w:before="100" w:beforeAutospacing="1" w:line="252" w:lineRule="auto"/>
              <w:ind w:left="102" w:hanging="3"/>
              <w:jc w:val="both"/>
              <w:rPr>
                <w:rFonts w:ascii="Arial" w:hAnsi="Arial" w:cs="Arial"/>
                <w:color w:val="181818"/>
                <w:w w:val="105"/>
              </w:rPr>
            </w:pPr>
            <w:r>
              <w:rPr>
                <w:rFonts w:ascii="Arial" w:hAnsi="Arial" w:cs="Arial"/>
                <w:color w:val="181818"/>
                <w:w w:val="105"/>
              </w:rPr>
              <w:t xml:space="preserve">To hold 2 meetings and maintain an </w:t>
            </w:r>
            <w:r w:rsidR="007947E7">
              <w:rPr>
                <w:rFonts w:ascii="Arial" w:hAnsi="Arial" w:cs="Arial"/>
                <w:color w:val="181818"/>
                <w:w w:val="105"/>
              </w:rPr>
              <w:t>overview</w:t>
            </w:r>
            <w:r>
              <w:rPr>
                <w:rFonts w:ascii="Arial" w:hAnsi="Arial" w:cs="Arial"/>
                <w:color w:val="181818"/>
                <w:w w:val="105"/>
              </w:rPr>
              <w:t xml:space="preserve"> of compla</w:t>
            </w:r>
            <w:r w:rsidR="007947E7">
              <w:rPr>
                <w:rFonts w:ascii="Arial" w:hAnsi="Arial" w:cs="Arial"/>
                <w:color w:val="181818"/>
                <w:w w:val="105"/>
              </w:rPr>
              <w:t>i</w:t>
            </w:r>
            <w:r>
              <w:rPr>
                <w:rFonts w:ascii="Arial" w:hAnsi="Arial" w:cs="Arial"/>
                <w:color w:val="181818"/>
                <w:w w:val="105"/>
              </w:rPr>
              <w:t>nts activity and learning throughout the year.</w:t>
            </w:r>
          </w:p>
        </w:tc>
        <w:tc>
          <w:tcPr>
            <w:tcW w:w="5245" w:type="dxa"/>
            <w:tcBorders>
              <w:bottom w:val="single" w:sz="4" w:space="0" w:color="auto"/>
            </w:tcBorders>
          </w:tcPr>
          <w:p w:rsidR="0013133B" w:rsidRDefault="003A282D" w:rsidP="00B03D6A">
            <w:pPr>
              <w:jc w:val="both"/>
              <w:rPr>
                <w:rFonts w:ascii="Arial" w:hAnsi="Arial" w:cs="Arial"/>
              </w:rPr>
            </w:pPr>
            <w:r>
              <w:rPr>
                <w:rFonts w:ascii="Arial" w:hAnsi="Arial" w:cs="Arial"/>
              </w:rPr>
              <w:t xml:space="preserve">This was done and will continue in future years. </w:t>
            </w:r>
          </w:p>
        </w:tc>
      </w:tr>
      <w:tr w:rsidR="0013133B" w:rsidRPr="003A5732" w:rsidTr="0013133B">
        <w:tc>
          <w:tcPr>
            <w:tcW w:w="10632" w:type="dxa"/>
            <w:gridSpan w:val="3"/>
            <w:shd w:val="clear" w:color="auto" w:fill="F2F2F2" w:themeFill="background1" w:themeFillShade="F2"/>
          </w:tcPr>
          <w:p w:rsidR="0013133B" w:rsidRPr="0013133B" w:rsidRDefault="0013133B" w:rsidP="0013133B">
            <w:pPr>
              <w:jc w:val="both"/>
              <w:rPr>
                <w:rFonts w:ascii="Arial" w:hAnsi="Arial" w:cs="Arial"/>
                <w:b/>
              </w:rPr>
            </w:pPr>
            <w:r w:rsidRPr="0013133B">
              <w:rPr>
                <w:rFonts w:ascii="Arial" w:hAnsi="Arial" w:cs="Arial"/>
                <w:b/>
                <w:color w:val="181818"/>
                <w:w w:val="105"/>
              </w:rPr>
              <w:t>Programme</w:t>
            </w:r>
          </w:p>
        </w:tc>
      </w:tr>
      <w:tr w:rsidR="003A5732" w:rsidRPr="003A5732" w:rsidTr="007C2A46">
        <w:tc>
          <w:tcPr>
            <w:tcW w:w="851" w:type="dxa"/>
          </w:tcPr>
          <w:p w:rsidR="003A5732" w:rsidRPr="003A5732" w:rsidRDefault="003A5732" w:rsidP="007C2A46">
            <w:pPr>
              <w:pStyle w:val="ListParagraph"/>
              <w:numPr>
                <w:ilvl w:val="0"/>
                <w:numId w:val="1"/>
              </w:numPr>
              <w:jc w:val="both"/>
              <w:rPr>
                <w:rFonts w:ascii="Arial" w:hAnsi="Arial" w:cs="Arial"/>
              </w:rPr>
            </w:pPr>
          </w:p>
        </w:tc>
        <w:tc>
          <w:tcPr>
            <w:tcW w:w="4536" w:type="dxa"/>
          </w:tcPr>
          <w:p w:rsidR="003A5732" w:rsidRPr="003A5732" w:rsidRDefault="003A5732" w:rsidP="007C2A46">
            <w:pPr>
              <w:spacing w:before="100" w:beforeAutospacing="1" w:line="252" w:lineRule="auto"/>
              <w:ind w:left="102" w:hanging="3"/>
              <w:jc w:val="both"/>
              <w:rPr>
                <w:rFonts w:ascii="Arial" w:hAnsi="Arial" w:cs="Arial"/>
                <w:color w:val="181818"/>
                <w:w w:val="105"/>
              </w:rPr>
            </w:pPr>
            <w:r w:rsidRPr="003A5732">
              <w:rPr>
                <w:rFonts w:ascii="Arial" w:hAnsi="Arial" w:cs="Arial"/>
                <w:color w:val="181818"/>
                <w:w w:val="105"/>
              </w:rPr>
              <w:t xml:space="preserve">Given the myriad of changes occurring and so many competing priorities, the need to record and report complaints has slipped down the priority list during 15/16.  IPT recognise this and are fully committed to raising its profile in 16/17.  Opportunities to do this will arise as the One Oxfam Report fully “beds in”. </w:t>
            </w:r>
            <w:r>
              <w:rPr>
                <w:rFonts w:ascii="Arial" w:hAnsi="Arial" w:cs="Arial"/>
                <w:color w:val="181818"/>
                <w:w w:val="105"/>
              </w:rPr>
              <w:t>(</w:t>
            </w:r>
            <w:r w:rsidRPr="003A5732">
              <w:rPr>
                <w:rFonts w:ascii="Arial" w:hAnsi="Arial" w:cs="Arial"/>
                <w:color w:val="181818"/>
                <w:w w:val="105"/>
              </w:rPr>
              <w:t>The advent of the One Oxfam report will be used to raise awareness on the need to hear what people are saying about OGB's work, record it, react to it and then pass it on for further learning</w:t>
            </w:r>
            <w:r w:rsidRPr="003A5732">
              <w:rPr>
                <w:rFonts w:ascii="Arial" w:hAnsi="Arial" w:cs="Arial"/>
                <w:color w:val="5D5D5D"/>
                <w:w w:val="105"/>
              </w:rPr>
              <w:t>.</w:t>
            </w:r>
            <w:r>
              <w:rPr>
                <w:rFonts w:ascii="Arial" w:hAnsi="Arial" w:cs="Arial"/>
                <w:color w:val="5D5D5D"/>
                <w:w w:val="105"/>
              </w:rPr>
              <w:t>)</w:t>
            </w:r>
          </w:p>
        </w:tc>
        <w:tc>
          <w:tcPr>
            <w:tcW w:w="5245" w:type="dxa"/>
          </w:tcPr>
          <w:p w:rsidR="008578DF" w:rsidRDefault="009D6F67" w:rsidP="00F21DA2">
            <w:pPr>
              <w:jc w:val="both"/>
              <w:rPr>
                <w:rFonts w:ascii="Arial" w:hAnsi="Arial" w:cs="Arial"/>
              </w:rPr>
            </w:pPr>
            <w:r w:rsidRPr="009D6F67">
              <w:rPr>
                <w:rFonts w:ascii="Arial" w:hAnsi="Arial" w:cs="Arial"/>
              </w:rPr>
              <w:t>We have transitioned to recording beneficiary and partner complaints into our programmes through the OI line, so that information on these will be available</w:t>
            </w:r>
            <w:r w:rsidR="00F21DA2">
              <w:rPr>
                <w:rFonts w:ascii="Arial" w:hAnsi="Arial" w:cs="Arial"/>
              </w:rPr>
              <w:t xml:space="preserve"> only</w:t>
            </w:r>
            <w:r w:rsidR="00C06CFD" w:rsidRPr="009D6F67">
              <w:rPr>
                <w:rFonts w:ascii="Arial" w:hAnsi="Arial" w:cs="Arial"/>
              </w:rPr>
              <w:t xml:space="preserve"> </w:t>
            </w:r>
            <w:r w:rsidRPr="009D6F67">
              <w:rPr>
                <w:rFonts w:ascii="Arial" w:hAnsi="Arial" w:cs="Arial"/>
              </w:rPr>
              <w:t>later this year – to in</w:t>
            </w:r>
            <w:r w:rsidR="00F21DA2">
              <w:rPr>
                <w:rFonts w:ascii="Arial" w:hAnsi="Arial" w:cs="Arial"/>
              </w:rPr>
              <w:t>f</w:t>
            </w:r>
            <w:r w:rsidRPr="009D6F67">
              <w:rPr>
                <w:rFonts w:ascii="Arial" w:hAnsi="Arial" w:cs="Arial"/>
              </w:rPr>
              <w:t>orm the October OI Execu</w:t>
            </w:r>
            <w:r w:rsidR="00F21DA2">
              <w:rPr>
                <w:rFonts w:ascii="Arial" w:hAnsi="Arial" w:cs="Arial"/>
              </w:rPr>
              <w:t>tive</w:t>
            </w:r>
            <w:r w:rsidRPr="009D6F67">
              <w:rPr>
                <w:rFonts w:ascii="Arial" w:hAnsi="Arial" w:cs="Arial"/>
              </w:rPr>
              <w:t xml:space="preserve"> Board and Board of Supervisor meetings.  </w:t>
            </w:r>
            <w:r w:rsidR="00C06CFD" w:rsidRPr="009D6F67">
              <w:rPr>
                <w:rFonts w:ascii="Arial" w:hAnsi="Arial" w:cs="Arial"/>
              </w:rPr>
              <w:t xml:space="preserve"> </w:t>
            </w:r>
            <w:r w:rsidR="00134F22" w:rsidRPr="009D6F67">
              <w:rPr>
                <w:rFonts w:ascii="Arial" w:hAnsi="Arial" w:cs="Arial"/>
              </w:rPr>
              <w:t xml:space="preserve"> </w:t>
            </w:r>
          </w:p>
          <w:p w:rsidR="008578DF" w:rsidRDefault="008578DF" w:rsidP="00F21DA2">
            <w:pPr>
              <w:jc w:val="both"/>
              <w:rPr>
                <w:rFonts w:ascii="Arial" w:hAnsi="Arial" w:cs="Arial"/>
              </w:rPr>
            </w:pPr>
          </w:p>
          <w:p w:rsidR="003A5732" w:rsidRPr="00C06CFD" w:rsidRDefault="008578DF" w:rsidP="008578DF">
            <w:pPr>
              <w:jc w:val="both"/>
              <w:rPr>
                <w:rFonts w:ascii="Arial" w:hAnsi="Arial" w:cs="Arial"/>
                <w:highlight w:val="green"/>
              </w:rPr>
            </w:pPr>
            <w:r>
              <w:rPr>
                <w:rFonts w:ascii="Arial" w:hAnsi="Arial" w:cs="Arial"/>
              </w:rPr>
              <w:t>Nonetheless, there were a few programme complaints received</w:t>
            </w:r>
            <w:r w:rsidR="00134F22" w:rsidRPr="009D6F67">
              <w:rPr>
                <w:rFonts w:ascii="Arial" w:hAnsi="Arial" w:cs="Arial"/>
              </w:rPr>
              <w:t xml:space="preserve"> </w:t>
            </w:r>
            <w:r>
              <w:rPr>
                <w:rFonts w:ascii="Arial" w:hAnsi="Arial" w:cs="Arial"/>
              </w:rPr>
              <w:t>at OGB HQ level, but there is little evidenced learning for OGB as there is currently no named person to collate the information.</w:t>
            </w:r>
          </w:p>
        </w:tc>
      </w:tr>
      <w:tr w:rsidR="003A5732" w:rsidRPr="003A5732" w:rsidTr="007C2A46">
        <w:tc>
          <w:tcPr>
            <w:tcW w:w="851" w:type="dxa"/>
          </w:tcPr>
          <w:p w:rsidR="003A5732" w:rsidRPr="003A5732" w:rsidRDefault="003A5732" w:rsidP="007C2A46">
            <w:pPr>
              <w:pStyle w:val="ListParagraph"/>
              <w:numPr>
                <w:ilvl w:val="0"/>
                <w:numId w:val="1"/>
              </w:numPr>
              <w:jc w:val="both"/>
              <w:rPr>
                <w:rFonts w:ascii="Arial" w:hAnsi="Arial" w:cs="Arial"/>
              </w:rPr>
            </w:pPr>
          </w:p>
        </w:tc>
        <w:tc>
          <w:tcPr>
            <w:tcW w:w="4536" w:type="dxa"/>
          </w:tcPr>
          <w:p w:rsidR="003A5732" w:rsidRPr="003A5732" w:rsidRDefault="003A5732" w:rsidP="007C2A46">
            <w:pPr>
              <w:spacing w:before="100" w:beforeAutospacing="1" w:line="249" w:lineRule="auto"/>
              <w:ind w:left="176" w:right="227"/>
              <w:jc w:val="both"/>
              <w:rPr>
                <w:rFonts w:ascii="Arial" w:hAnsi="Arial" w:cs="Arial"/>
                <w:color w:val="181818"/>
                <w:w w:val="105"/>
              </w:rPr>
            </w:pPr>
            <w:r w:rsidRPr="003A5732">
              <w:rPr>
                <w:rFonts w:ascii="Arial" w:hAnsi="Arial" w:cs="Arial"/>
                <w:color w:val="1A1A1A"/>
                <w:w w:val="105"/>
              </w:rPr>
              <w:t>The need to discuss and agree with partners who is responsible for accountability to communities/stakeholders will be written into Oxfam's Partnership Toolkit during 2016-17</w:t>
            </w:r>
            <w:r w:rsidRPr="003A5732">
              <w:rPr>
                <w:rFonts w:ascii="Arial" w:hAnsi="Arial" w:cs="Arial"/>
                <w:color w:val="4D4D4D"/>
                <w:w w:val="105"/>
              </w:rPr>
              <w:t xml:space="preserve">. </w:t>
            </w:r>
            <w:r w:rsidRPr="003A5732">
              <w:rPr>
                <w:rFonts w:ascii="Arial" w:hAnsi="Arial" w:cs="Arial"/>
                <w:color w:val="1A1A1A"/>
                <w:w w:val="105"/>
              </w:rPr>
              <w:t>This</w:t>
            </w:r>
            <w:r w:rsidRPr="003A5732">
              <w:rPr>
                <w:rFonts w:ascii="Arial" w:hAnsi="Arial" w:cs="Arial"/>
                <w:color w:val="1A1A1A"/>
                <w:spacing w:val="55"/>
                <w:w w:val="105"/>
              </w:rPr>
              <w:t xml:space="preserve"> </w:t>
            </w:r>
            <w:r w:rsidRPr="003A5732">
              <w:rPr>
                <w:rFonts w:ascii="Arial" w:hAnsi="Arial" w:cs="Arial"/>
                <w:color w:val="1A1A1A"/>
                <w:w w:val="105"/>
              </w:rPr>
              <w:t xml:space="preserve">will mean that in countries where Oxfam GB is the Executing Affiliate it will be compulsory for all partners and partnerships to have the capacity to </w:t>
            </w:r>
            <w:proofErr w:type="gramStart"/>
            <w:r w:rsidRPr="003A5732">
              <w:rPr>
                <w:rFonts w:ascii="Arial" w:hAnsi="Arial" w:cs="Arial"/>
                <w:color w:val="1A1A1A"/>
                <w:w w:val="105"/>
              </w:rPr>
              <w:t>identify,</w:t>
            </w:r>
            <w:proofErr w:type="gramEnd"/>
            <w:r w:rsidRPr="003A5732">
              <w:rPr>
                <w:rFonts w:ascii="Arial" w:hAnsi="Arial" w:cs="Arial"/>
                <w:color w:val="1A1A1A"/>
                <w:w w:val="105"/>
              </w:rPr>
              <w:t xml:space="preserve"> record and report complaints. </w:t>
            </w:r>
          </w:p>
        </w:tc>
        <w:tc>
          <w:tcPr>
            <w:tcW w:w="5245" w:type="dxa"/>
          </w:tcPr>
          <w:p w:rsidR="003A5732" w:rsidRPr="00060D10" w:rsidRDefault="00060D10" w:rsidP="00060D10">
            <w:pPr>
              <w:jc w:val="both"/>
              <w:rPr>
                <w:rFonts w:ascii="Arial" w:hAnsi="Arial" w:cs="Arial"/>
              </w:rPr>
            </w:pPr>
            <w:r w:rsidRPr="00060D10">
              <w:rPr>
                <w:rFonts w:ascii="Arial" w:hAnsi="Arial" w:cs="Arial"/>
              </w:rPr>
              <w:t xml:space="preserve">In 2016/17 it was agreed that this would now be monitored through OI processes.  Nonetheless, going forward we need a named staff member in the International Programmes Team to be responsible for oversight in this area.  Awaiting result of current change process before identifying this person.  </w:t>
            </w:r>
          </w:p>
        </w:tc>
      </w:tr>
      <w:tr w:rsidR="003A5732" w:rsidRPr="003A5732" w:rsidTr="007C2A46">
        <w:tc>
          <w:tcPr>
            <w:tcW w:w="851" w:type="dxa"/>
            <w:tcBorders>
              <w:bottom w:val="single" w:sz="4" w:space="0" w:color="auto"/>
            </w:tcBorders>
          </w:tcPr>
          <w:p w:rsidR="003A5732" w:rsidRPr="003A5732" w:rsidRDefault="003A5732" w:rsidP="007C2A46">
            <w:pPr>
              <w:pStyle w:val="ListParagraph"/>
              <w:numPr>
                <w:ilvl w:val="0"/>
                <w:numId w:val="1"/>
              </w:numPr>
              <w:jc w:val="both"/>
              <w:rPr>
                <w:rFonts w:ascii="Arial" w:hAnsi="Arial" w:cs="Arial"/>
              </w:rPr>
            </w:pPr>
          </w:p>
        </w:tc>
        <w:tc>
          <w:tcPr>
            <w:tcW w:w="4536" w:type="dxa"/>
            <w:tcBorders>
              <w:bottom w:val="single" w:sz="4" w:space="0" w:color="auto"/>
            </w:tcBorders>
          </w:tcPr>
          <w:p w:rsidR="003A5732" w:rsidRPr="003A5732" w:rsidRDefault="003A5732" w:rsidP="007947E7">
            <w:pPr>
              <w:spacing w:before="100" w:beforeAutospacing="1" w:line="252" w:lineRule="auto"/>
              <w:ind w:left="102" w:hanging="3"/>
              <w:jc w:val="both"/>
              <w:rPr>
                <w:rFonts w:ascii="Arial" w:hAnsi="Arial" w:cs="Arial"/>
              </w:rPr>
            </w:pPr>
            <w:r w:rsidRPr="003A5732">
              <w:rPr>
                <w:rFonts w:ascii="Arial" w:hAnsi="Arial" w:cs="Arial"/>
                <w:color w:val="1A1A1A"/>
                <w:w w:val="105"/>
              </w:rPr>
              <w:t>The</w:t>
            </w:r>
            <w:r w:rsidRPr="003A5732">
              <w:rPr>
                <w:rFonts w:ascii="Arial" w:hAnsi="Arial" w:cs="Arial"/>
                <w:color w:val="1A1A1A"/>
                <w:spacing w:val="55"/>
                <w:w w:val="105"/>
              </w:rPr>
              <w:t xml:space="preserve"> </w:t>
            </w:r>
            <w:r w:rsidRPr="003A5732">
              <w:rPr>
                <w:rFonts w:ascii="Arial" w:hAnsi="Arial" w:cs="Arial"/>
                <w:color w:val="1A1A1A"/>
                <w:w w:val="105"/>
              </w:rPr>
              <w:t xml:space="preserve">need for this capacity to be </w:t>
            </w:r>
            <w:proofErr w:type="gramStart"/>
            <w:r w:rsidRPr="003A5732">
              <w:rPr>
                <w:rFonts w:ascii="Arial" w:hAnsi="Arial" w:cs="Arial"/>
                <w:color w:val="1A1A1A"/>
                <w:w w:val="105"/>
              </w:rPr>
              <w:t>built/assured</w:t>
            </w:r>
            <w:proofErr w:type="gramEnd"/>
            <w:r w:rsidRPr="003A5732">
              <w:rPr>
                <w:rFonts w:ascii="Arial" w:hAnsi="Arial" w:cs="Arial"/>
                <w:color w:val="1A1A1A"/>
                <w:w w:val="105"/>
              </w:rPr>
              <w:t xml:space="preserve"> will also be part of our Programme Quality 'offer' to the rest of the</w:t>
            </w:r>
            <w:r w:rsidRPr="003A5732">
              <w:rPr>
                <w:rFonts w:ascii="Arial" w:hAnsi="Arial" w:cs="Arial"/>
                <w:color w:val="1A1A1A"/>
                <w:spacing w:val="-6"/>
                <w:w w:val="105"/>
              </w:rPr>
              <w:t xml:space="preserve"> </w:t>
            </w:r>
            <w:r w:rsidRPr="003A5732">
              <w:rPr>
                <w:rFonts w:ascii="Arial" w:hAnsi="Arial" w:cs="Arial"/>
                <w:color w:val="1A1A1A"/>
                <w:w w:val="105"/>
              </w:rPr>
              <w:t>confederation.</w:t>
            </w:r>
          </w:p>
        </w:tc>
        <w:tc>
          <w:tcPr>
            <w:tcW w:w="5245" w:type="dxa"/>
            <w:tcBorders>
              <w:bottom w:val="single" w:sz="4" w:space="0" w:color="auto"/>
            </w:tcBorders>
          </w:tcPr>
          <w:p w:rsidR="003A5732" w:rsidRPr="00060D10" w:rsidRDefault="00060D10" w:rsidP="007C2A46">
            <w:pPr>
              <w:jc w:val="both"/>
              <w:rPr>
                <w:rFonts w:ascii="Arial" w:hAnsi="Arial" w:cs="Arial"/>
              </w:rPr>
            </w:pPr>
            <w:r w:rsidRPr="00060D10">
              <w:rPr>
                <w:rFonts w:ascii="Arial" w:hAnsi="Arial" w:cs="Arial"/>
              </w:rPr>
              <w:t xml:space="preserve">See 4 above.  </w:t>
            </w:r>
          </w:p>
        </w:tc>
      </w:tr>
      <w:tr w:rsidR="007C2A46" w:rsidRPr="007C2A46" w:rsidTr="007C2A46">
        <w:tc>
          <w:tcPr>
            <w:tcW w:w="10632" w:type="dxa"/>
            <w:gridSpan w:val="3"/>
            <w:shd w:val="clear" w:color="auto" w:fill="F2F2F2" w:themeFill="background1" w:themeFillShade="F2"/>
          </w:tcPr>
          <w:p w:rsidR="007C2A46" w:rsidRPr="007C2A46" w:rsidRDefault="007C2A46" w:rsidP="007C2A46">
            <w:pPr>
              <w:jc w:val="both"/>
              <w:rPr>
                <w:rFonts w:ascii="Arial" w:hAnsi="Arial" w:cs="Arial"/>
                <w:b/>
              </w:rPr>
            </w:pPr>
            <w:r w:rsidRPr="007C2A46">
              <w:rPr>
                <w:rFonts w:ascii="Arial" w:hAnsi="Arial" w:cs="Arial"/>
                <w:b/>
                <w:color w:val="181818"/>
                <w:w w:val="105"/>
              </w:rPr>
              <w:t>Trading</w:t>
            </w:r>
          </w:p>
        </w:tc>
      </w:tr>
      <w:tr w:rsidR="003A5732" w:rsidRPr="003A5732" w:rsidTr="007C2A46">
        <w:tc>
          <w:tcPr>
            <w:tcW w:w="851" w:type="dxa"/>
          </w:tcPr>
          <w:p w:rsidR="003A5732" w:rsidRPr="003A5732" w:rsidRDefault="003A5732" w:rsidP="007C2A46">
            <w:pPr>
              <w:pStyle w:val="ListParagraph"/>
              <w:numPr>
                <w:ilvl w:val="0"/>
                <w:numId w:val="1"/>
              </w:numPr>
              <w:jc w:val="both"/>
              <w:rPr>
                <w:rFonts w:ascii="Arial" w:hAnsi="Arial" w:cs="Arial"/>
              </w:rPr>
            </w:pPr>
          </w:p>
        </w:tc>
        <w:tc>
          <w:tcPr>
            <w:tcW w:w="4536" w:type="dxa"/>
          </w:tcPr>
          <w:p w:rsidR="003A5732" w:rsidRPr="007C2A46" w:rsidRDefault="007C2A46" w:rsidP="007C2A46">
            <w:pPr>
              <w:spacing w:before="20" w:line="252" w:lineRule="auto"/>
              <w:ind w:left="102" w:hanging="3"/>
              <w:jc w:val="both"/>
              <w:rPr>
                <w:rFonts w:ascii="Arial" w:hAnsi="Arial" w:cs="Arial"/>
                <w:color w:val="181818"/>
                <w:w w:val="105"/>
              </w:rPr>
            </w:pPr>
            <w:r w:rsidRPr="007C2A46">
              <w:rPr>
                <w:rFonts w:ascii="Arial" w:hAnsi="Arial" w:cs="Arial"/>
                <w:color w:val="181818"/>
                <w:w w:val="105"/>
              </w:rPr>
              <w:t>Understand the issue that prevents resolution within 14 days and determine what we can do to speed up the process. (</w:t>
            </w:r>
            <w:proofErr w:type="gramStart"/>
            <w:r w:rsidRPr="007C2A46">
              <w:rPr>
                <w:rFonts w:ascii="Arial" w:hAnsi="Arial" w:cs="Arial"/>
                <w:color w:val="181818"/>
                <w:w w:val="105"/>
              </w:rPr>
              <w:t>c/f</w:t>
            </w:r>
            <w:proofErr w:type="gramEnd"/>
            <w:r w:rsidRPr="007C2A46">
              <w:rPr>
                <w:rFonts w:ascii="Arial" w:hAnsi="Arial" w:cs="Arial"/>
                <w:color w:val="181818"/>
                <w:w w:val="105"/>
              </w:rPr>
              <w:t xml:space="preserve"> from 2015/16 action plan.)</w:t>
            </w:r>
          </w:p>
        </w:tc>
        <w:tc>
          <w:tcPr>
            <w:tcW w:w="5245" w:type="dxa"/>
          </w:tcPr>
          <w:p w:rsidR="003A5732" w:rsidRPr="007C2A46" w:rsidRDefault="003233CE" w:rsidP="00261A40">
            <w:pPr>
              <w:jc w:val="both"/>
              <w:rPr>
                <w:rFonts w:ascii="Arial" w:hAnsi="Arial" w:cs="Arial"/>
              </w:rPr>
            </w:pPr>
            <w:r>
              <w:rPr>
                <w:rFonts w:ascii="Arial" w:hAnsi="Arial" w:cs="Arial"/>
              </w:rPr>
              <w:t xml:space="preserve">Work has been done to understand the issue. </w:t>
            </w:r>
            <w:r w:rsidR="00674073">
              <w:rPr>
                <w:rFonts w:ascii="Arial" w:hAnsi="Arial" w:cs="Arial"/>
              </w:rPr>
              <w:t xml:space="preserve">Communication chains between Shop Support, Shop and Area Managers can, with </w:t>
            </w:r>
            <w:r w:rsidR="00C6263B">
              <w:rPr>
                <w:rFonts w:ascii="Arial" w:hAnsi="Arial" w:cs="Arial"/>
              </w:rPr>
              <w:t>required investigation</w:t>
            </w:r>
            <w:r>
              <w:rPr>
                <w:rFonts w:ascii="Arial" w:hAnsi="Arial" w:cs="Arial"/>
              </w:rPr>
              <w:t>,</w:t>
            </w:r>
            <w:r w:rsidR="00674073">
              <w:rPr>
                <w:rFonts w:ascii="Arial" w:hAnsi="Arial" w:cs="Arial"/>
              </w:rPr>
              <w:t xml:space="preserve"> quickly exhaust the 14 days. Shop Support </w:t>
            </w:r>
            <w:proofErr w:type="gramStart"/>
            <w:r w:rsidR="00674073">
              <w:rPr>
                <w:rFonts w:ascii="Arial" w:hAnsi="Arial" w:cs="Arial"/>
              </w:rPr>
              <w:t>have</w:t>
            </w:r>
            <w:proofErr w:type="gramEnd"/>
            <w:r w:rsidR="00674073">
              <w:rPr>
                <w:rFonts w:ascii="Arial" w:hAnsi="Arial" w:cs="Arial"/>
              </w:rPr>
              <w:t xml:space="preserve"> reviewed </w:t>
            </w:r>
            <w:r w:rsidR="00C6263B">
              <w:rPr>
                <w:rFonts w:ascii="Arial" w:hAnsi="Arial" w:cs="Arial"/>
              </w:rPr>
              <w:t>procedures</w:t>
            </w:r>
            <w:r w:rsidR="00674073">
              <w:rPr>
                <w:rFonts w:ascii="Arial" w:hAnsi="Arial" w:cs="Arial"/>
              </w:rPr>
              <w:t xml:space="preserve"> and </w:t>
            </w:r>
            <w:r>
              <w:rPr>
                <w:rFonts w:ascii="Arial" w:hAnsi="Arial" w:cs="Arial"/>
              </w:rPr>
              <w:t>since</w:t>
            </w:r>
            <w:r w:rsidR="00674073">
              <w:rPr>
                <w:rFonts w:ascii="Arial" w:hAnsi="Arial" w:cs="Arial"/>
              </w:rPr>
              <w:t xml:space="preserve"> Sept 2016 </w:t>
            </w:r>
            <w:r>
              <w:rPr>
                <w:rFonts w:ascii="Arial" w:hAnsi="Arial" w:cs="Arial"/>
              </w:rPr>
              <w:t xml:space="preserve">have </w:t>
            </w:r>
            <w:r w:rsidR="00674073">
              <w:rPr>
                <w:rFonts w:ascii="Arial" w:hAnsi="Arial" w:cs="Arial"/>
              </w:rPr>
              <w:t>ensure</w:t>
            </w:r>
            <w:r>
              <w:rPr>
                <w:rFonts w:ascii="Arial" w:hAnsi="Arial" w:cs="Arial"/>
              </w:rPr>
              <w:t>d</w:t>
            </w:r>
            <w:r w:rsidR="00674073">
              <w:rPr>
                <w:rFonts w:ascii="Arial" w:hAnsi="Arial" w:cs="Arial"/>
              </w:rPr>
              <w:t xml:space="preserve"> that reminders are issued before the 14</w:t>
            </w:r>
            <w:r w:rsidR="00674073" w:rsidRPr="00674073">
              <w:rPr>
                <w:rFonts w:ascii="Arial" w:hAnsi="Arial" w:cs="Arial"/>
                <w:vertAlign w:val="superscript"/>
              </w:rPr>
              <w:t>th</w:t>
            </w:r>
            <w:r w:rsidR="00674073">
              <w:rPr>
                <w:rFonts w:ascii="Arial" w:hAnsi="Arial" w:cs="Arial"/>
              </w:rPr>
              <w:t xml:space="preserve"> day is hit. From a peak at </w:t>
            </w:r>
            <w:r>
              <w:rPr>
                <w:rFonts w:ascii="Arial" w:hAnsi="Arial" w:cs="Arial"/>
              </w:rPr>
              <w:t>in the first half of 2016-17</w:t>
            </w:r>
            <w:r w:rsidR="00C6263B">
              <w:rPr>
                <w:rFonts w:ascii="Arial" w:hAnsi="Arial" w:cs="Arial"/>
              </w:rPr>
              <w:t xml:space="preserve"> this reduced to 38% at the Y/E compared to 37% the previous year.</w:t>
            </w:r>
            <w:r w:rsidR="00475FCF">
              <w:rPr>
                <w:rFonts w:ascii="Arial" w:hAnsi="Arial" w:cs="Arial"/>
              </w:rPr>
              <w:t xml:space="preserve"> </w:t>
            </w:r>
            <w:r>
              <w:rPr>
                <w:rFonts w:ascii="Arial" w:hAnsi="Arial" w:cs="Arial"/>
              </w:rPr>
              <w:t xml:space="preserve">The figures from the first half of </w:t>
            </w:r>
            <w:r w:rsidR="00475FCF">
              <w:rPr>
                <w:rFonts w:ascii="Arial" w:hAnsi="Arial" w:cs="Arial"/>
              </w:rPr>
              <w:t>2017</w:t>
            </w:r>
            <w:r>
              <w:rPr>
                <w:rFonts w:ascii="Arial" w:hAnsi="Arial" w:cs="Arial"/>
              </w:rPr>
              <w:t>-</w:t>
            </w:r>
            <w:r w:rsidR="00475FCF">
              <w:rPr>
                <w:rFonts w:ascii="Arial" w:hAnsi="Arial" w:cs="Arial"/>
              </w:rPr>
              <w:t xml:space="preserve">18 will inform whether </w:t>
            </w:r>
            <w:r w:rsidR="00475FCF">
              <w:rPr>
                <w:rFonts w:ascii="Arial" w:hAnsi="Arial" w:cs="Arial"/>
              </w:rPr>
              <w:lastRenderedPageBreak/>
              <w:t>this trajectory continues.</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7C2A46" w:rsidRDefault="007C2A46" w:rsidP="007C2A46">
            <w:pPr>
              <w:spacing w:before="20" w:line="252" w:lineRule="auto"/>
              <w:ind w:left="102" w:hanging="3"/>
              <w:jc w:val="both"/>
              <w:rPr>
                <w:rFonts w:ascii="Arial" w:hAnsi="Arial" w:cs="Arial"/>
                <w:color w:val="181818"/>
                <w:w w:val="105"/>
              </w:rPr>
            </w:pPr>
            <w:r w:rsidRPr="007C2A46">
              <w:rPr>
                <w:rFonts w:ascii="Arial" w:hAnsi="Arial" w:cs="Arial"/>
                <w:color w:val="181818"/>
                <w:w w:val="105"/>
              </w:rPr>
              <w:t>Look at shops where there may be particular issues to help improve customer service levels based on issues identified.  (</w:t>
            </w:r>
            <w:proofErr w:type="gramStart"/>
            <w:r w:rsidRPr="007C2A46">
              <w:rPr>
                <w:rFonts w:ascii="Arial" w:hAnsi="Arial" w:cs="Arial"/>
                <w:color w:val="181818"/>
                <w:w w:val="105"/>
              </w:rPr>
              <w:t>c/f</w:t>
            </w:r>
            <w:proofErr w:type="gramEnd"/>
            <w:r w:rsidRPr="007C2A46">
              <w:rPr>
                <w:rFonts w:ascii="Arial" w:hAnsi="Arial" w:cs="Arial"/>
                <w:color w:val="181818"/>
                <w:w w:val="105"/>
              </w:rPr>
              <w:t xml:space="preserve"> from 2015/16 action plan.)</w:t>
            </w:r>
          </w:p>
        </w:tc>
        <w:tc>
          <w:tcPr>
            <w:tcW w:w="5245" w:type="dxa"/>
          </w:tcPr>
          <w:p w:rsidR="007C2A46" w:rsidRPr="007C2A46" w:rsidRDefault="00674073" w:rsidP="007C2A46">
            <w:pPr>
              <w:jc w:val="both"/>
              <w:rPr>
                <w:rFonts w:ascii="Arial" w:hAnsi="Arial" w:cs="Arial"/>
              </w:rPr>
            </w:pPr>
            <w:r>
              <w:rPr>
                <w:rFonts w:ascii="Arial" w:hAnsi="Arial" w:cs="Arial"/>
              </w:rPr>
              <w:t xml:space="preserve">Retail Skills training is now planned for 2017/18 F/Y. With other Trading Strategy </w:t>
            </w:r>
            <w:r w:rsidR="008B0D01">
              <w:rPr>
                <w:rFonts w:ascii="Arial" w:hAnsi="Arial" w:cs="Arial"/>
              </w:rPr>
              <w:t>related activity and training now in course</w:t>
            </w:r>
            <w:r>
              <w:rPr>
                <w:rFonts w:ascii="Arial" w:hAnsi="Arial" w:cs="Arial"/>
              </w:rPr>
              <w:t>, it is understood that this will be later in the F/Y possibly Q4.</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7C2A46" w:rsidRDefault="007C2A46" w:rsidP="007C2A46">
            <w:pPr>
              <w:spacing w:before="20" w:line="252" w:lineRule="auto"/>
              <w:ind w:left="102" w:hanging="3"/>
              <w:jc w:val="both"/>
              <w:rPr>
                <w:rFonts w:ascii="Arial" w:hAnsi="Arial" w:cs="Arial"/>
                <w:color w:val="181818"/>
                <w:w w:val="105"/>
              </w:rPr>
            </w:pPr>
            <w:r w:rsidRPr="007C2A46">
              <w:rPr>
                <w:rFonts w:ascii="Arial" w:hAnsi="Arial" w:cs="Arial"/>
                <w:color w:val="181818"/>
                <w:w w:val="105"/>
              </w:rPr>
              <w:t xml:space="preserve">To get behind and understand the increase in volume of </w:t>
            </w:r>
            <w:r w:rsidR="007947E7" w:rsidRPr="007C2A46">
              <w:rPr>
                <w:rFonts w:ascii="Arial" w:hAnsi="Arial" w:cs="Arial"/>
                <w:color w:val="181818"/>
                <w:w w:val="105"/>
              </w:rPr>
              <w:t>complaints</w:t>
            </w:r>
            <w:r w:rsidRPr="007C2A46">
              <w:rPr>
                <w:rFonts w:ascii="Arial" w:hAnsi="Arial" w:cs="Arial"/>
                <w:color w:val="181818"/>
                <w:w w:val="105"/>
              </w:rPr>
              <w:t xml:space="preserve"> relating to poor customer service.</w:t>
            </w:r>
          </w:p>
        </w:tc>
        <w:tc>
          <w:tcPr>
            <w:tcW w:w="5245" w:type="dxa"/>
          </w:tcPr>
          <w:p w:rsidR="007C2A46" w:rsidRPr="007C2A46" w:rsidRDefault="00674073" w:rsidP="007C2A46">
            <w:pPr>
              <w:jc w:val="both"/>
              <w:rPr>
                <w:rFonts w:ascii="Arial" w:hAnsi="Arial" w:cs="Arial"/>
              </w:rPr>
            </w:pPr>
            <w:r>
              <w:rPr>
                <w:rFonts w:ascii="Arial" w:hAnsi="Arial" w:cs="Arial"/>
              </w:rPr>
              <w:t>This is felt to be a</w:t>
            </w:r>
            <w:r w:rsidR="00C6263B">
              <w:rPr>
                <w:rFonts w:ascii="Arial" w:hAnsi="Arial" w:cs="Arial"/>
              </w:rPr>
              <w:t>t least partly due to the increase in use</w:t>
            </w:r>
            <w:r>
              <w:rPr>
                <w:rFonts w:ascii="Arial" w:hAnsi="Arial" w:cs="Arial"/>
              </w:rPr>
              <w:t xml:space="preserve"> of more instant communication channels making complaining at the time of (or shortly after</w:t>
            </w:r>
            <w:r w:rsidR="00C6263B">
              <w:rPr>
                <w:rFonts w:ascii="Arial" w:hAnsi="Arial" w:cs="Arial"/>
              </w:rPr>
              <w:t>)</w:t>
            </w:r>
            <w:r>
              <w:rPr>
                <w:rFonts w:ascii="Arial" w:hAnsi="Arial" w:cs="Arial"/>
              </w:rPr>
              <w:t xml:space="preserve"> the incident</w:t>
            </w:r>
            <w:r w:rsidR="00C6263B">
              <w:rPr>
                <w:rFonts w:ascii="Arial" w:hAnsi="Arial" w:cs="Arial"/>
              </w:rPr>
              <w:t xml:space="preserve"> easier. It may also be a factor that there have not been significant changes to policy or procedures for other categories of complaints meaning more issues can be handled locally</w:t>
            </w:r>
            <w:r w:rsidR="008B0D01">
              <w:rPr>
                <w:rFonts w:ascii="Arial" w:hAnsi="Arial" w:cs="Arial"/>
              </w:rPr>
              <w:t xml:space="preserve"> driving those down rather than resulting in an official complaint.</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7C2A46" w:rsidRDefault="007C2A46" w:rsidP="007C2A46">
            <w:pPr>
              <w:widowControl w:val="0"/>
              <w:tabs>
                <w:tab w:val="left" w:pos="467"/>
              </w:tabs>
              <w:autoSpaceDE w:val="0"/>
              <w:autoSpaceDN w:val="0"/>
              <w:spacing w:before="8"/>
              <w:jc w:val="both"/>
              <w:rPr>
                <w:rFonts w:ascii="Arial" w:hAnsi="Arial" w:cs="Arial"/>
                <w:color w:val="181818"/>
                <w:w w:val="105"/>
              </w:rPr>
            </w:pPr>
            <w:r w:rsidRPr="007C2A46">
              <w:rPr>
                <w:rFonts w:ascii="Arial" w:hAnsi="Arial" w:cs="Arial"/>
                <w:color w:val="161616"/>
                <w:w w:val="105"/>
              </w:rPr>
              <w:t>Volunteer</w:t>
            </w:r>
            <w:r w:rsidRPr="007C2A46">
              <w:rPr>
                <w:rFonts w:ascii="Arial" w:hAnsi="Arial" w:cs="Arial"/>
                <w:color w:val="161616"/>
                <w:spacing w:val="4"/>
                <w:w w:val="105"/>
              </w:rPr>
              <w:t xml:space="preserve"> </w:t>
            </w:r>
            <w:r w:rsidRPr="007C2A46">
              <w:rPr>
                <w:rFonts w:ascii="Arial" w:hAnsi="Arial" w:cs="Arial"/>
                <w:color w:val="161616"/>
                <w:w w:val="105"/>
              </w:rPr>
              <w:t>training</w:t>
            </w:r>
            <w:r w:rsidRPr="007C2A46">
              <w:rPr>
                <w:rFonts w:ascii="Arial" w:hAnsi="Arial" w:cs="Arial"/>
                <w:color w:val="161616"/>
                <w:spacing w:val="-13"/>
                <w:w w:val="105"/>
              </w:rPr>
              <w:t xml:space="preserve"> </w:t>
            </w:r>
            <w:r w:rsidRPr="007C2A46">
              <w:rPr>
                <w:rFonts w:ascii="Arial" w:hAnsi="Arial" w:cs="Arial"/>
                <w:color w:val="2A2A2A"/>
                <w:w w:val="105"/>
              </w:rPr>
              <w:t>in</w:t>
            </w:r>
            <w:r w:rsidRPr="007C2A46">
              <w:rPr>
                <w:rFonts w:ascii="Arial" w:hAnsi="Arial" w:cs="Arial"/>
                <w:color w:val="2A2A2A"/>
                <w:spacing w:val="-11"/>
                <w:w w:val="105"/>
              </w:rPr>
              <w:t xml:space="preserve"> </w:t>
            </w:r>
            <w:r w:rsidRPr="007C2A46">
              <w:rPr>
                <w:rFonts w:ascii="Arial" w:hAnsi="Arial" w:cs="Arial"/>
                <w:color w:val="161616"/>
                <w:w w:val="105"/>
              </w:rPr>
              <w:t>the</w:t>
            </w:r>
            <w:r w:rsidRPr="007C2A46">
              <w:rPr>
                <w:rFonts w:ascii="Arial" w:hAnsi="Arial" w:cs="Arial"/>
                <w:color w:val="161616"/>
                <w:spacing w:val="-8"/>
                <w:w w:val="105"/>
              </w:rPr>
              <w:t xml:space="preserve"> </w:t>
            </w:r>
            <w:r w:rsidRPr="007C2A46">
              <w:rPr>
                <w:rFonts w:ascii="Arial" w:hAnsi="Arial" w:cs="Arial"/>
                <w:color w:val="161616"/>
                <w:w w:val="105"/>
              </w:rPr>
              <w:t>Shop</w:t>
            </w:r>
            <w:r w:rsidRPr="007C2A46">
              <w:rPr>
                <w:rFonts w:ascii="Arial" w:hAnsi="Arial" w:cs="Arial"/>
                <w:color w:val="161616"/>
                <w:spacing w:val="-19"/>
                <w:w w:val="105"/>
              </w:rPr>
              <w:t xml:space="preserve"> </w:t>
            </w:r>
            <w:r w:rsidRPr="007C2A46">
              <w:rPr>
                <w:rFonts w:ascii="Arial" w:hAnsi="Arial" w:cs="Arial"/>
                <w:color w:val="161616"/>
                <w:w w:val="105"/>
              </w:rPr>
              <w:t>Network</w:t>
            </w:r>
            <w:r w:rsidRPr="007C2A46">
              <w:rPr>
                <w:rFonts w:ascii="Arial" w:hAnsi="Arial" w:cs="Arial"/>
                <w:color w:val="161616"/>
                <w:spacing w:val="5"/>
                <w:w w:val="105"/>
              </w:rPr>
              <w:t xml:space="preserve"> </w:t>
            </w:r>
            <w:r w:rsidRPr="007C2A46">
              <w:rPr>
                <w:rFonts w:ascii="Arial" w:hAnsi="Arial" w:cs="Arial"/>
                <w:color w:val="161616"/>
                <w:w w:val="105"/>
              </w:rPr>
              <w:t>2016/17</w:t>
            </w:r>
            <w:r w:rsidRPr="007C2A46">
              <w:rPr>
                <w:rFonts w:ascii="Arial" w:hAnsi="Arial" w:cs="Arial"/>
                <w:color w:val="161616"/>
                <w:spacing w:val="-4"/>
                <w:w w:val="105"/>
              </w:rPr>
              <w:t xml:space="preserve"> </w:t>
            </w:r>
            <w:r w:rsidRPr="007C2A46">
              <w:rPr>
                <w:rFonts w:ascii="Arial" w:hAnsi="Arial" w:cs="Arial"/>
                <w:color w:val="161616"/>
                <w:w w:val="105"/>
              </w:rPr>
              <w:t>an</w:t>
            </w:r>
            <w:r w:rsidRPr="007C2A46">
              <w:rPr>
                <w:rFonts w:ascii="Arial" w:hAnsi="Arial" w:cs="Arial"/>
                <w:color w:val="161616"/>
                <w:spacing w:val="-17"/>
                <w:w w:val="105"/>
              </w:rPr>
              <w:t xml:space="preserve"> </w:t>
            </w:r>
            <w:r w:rsidRPr="007C2A46">
              <w:rPr>
                <w:rFonts w:ascii="Arial" w:hAnsi="Arial" w:cs="Arial"/>
                <w:color w:val="161616"/>
                <w:w w:val="105"/>
              </w:rPr>
              <w:t>initial</w:t>
            </w:r>
            <w:r w:rsidRPr="007C2A46">
              <w:rPr>
                <w:rFonts w:ascii="Arial" w:hAnsi="Arial" w:cs="Arial"/>
                <w:color w:val="161616"/>
                <w:spacing w:val="-9"/>
                <w:w w:val="105"/>
              </w:rPr>
              <w:t xml:space="preserve"> </w:t>
            </w:r>
            <w:r w:rsidRPr="007C2A46">
              <w:rPr>
                <w:rFonts w:ascii="Arial" w:hAnsi="Arial" w:cs="Arial"/>
                <w:color w:val="161616"/>
                <w:w w:val="105"/>
              </w:rPr>
              <w:t>component</w:t>
            </w:r>
            <w:r w:rsidRPr="007C2A46">
              <w:rPr>
                <w:rFonts w:ascii="Arial" w:hAnsi="Arial" w:cs="Arial"/>
                <w:color w:val="161616"/>
                <w:spacing w:val="7"/>
                <w:w w:val="105"/>
              </w:rPr>
              <w:t xml:space="preserve"> </w:t>
            </w:r>
            <w:r w:rsidRPr="007C2A46">
              <w:rPr>
                <w:rFonts w:ascii="Arial" w:hAnsi="Arial" w:cs="Arial"/>
                <w:color w:val="161616"/>
                <w:w w:val="105"/>
              </w:rPr>
              <w:t>of</w:t>
            </w:r>
            <w:r w:rsidRPr="007C2A46">
              <w:rPr>
                <w:rFonts w:ascii="Arial" w:hAnsi="Arial" w:cs="Arial"/>
                <w:color w:val="161616"/>
                <w:spacing w:val="-6"/>
                <w:w w:val="105"/>
              </w:rPr>
              <w:t xml:space="preserve"> </w:t>
            </w:r>
            <w:r w:rsidRPr="007C2A46">
              <w:rPr>
                <w:rFonts w:ascii="Arial" w:hAnsi="Arial" w:cs="Arial"/>
                <w:color w:val="161616"/>
                <w:w w:val="105"/>
              </w:rPr>
              <w:t>which</w:t>
            </w:r>
            <w:r w:rsidRPr="007C2A46">
              <w:rPr>
                <w:rFonts w:ascii="Arial" w:hAnsi="Arial" w:cs="Arial"/>
                <w:color w:val="161616"/>
                <w:spacing w:val="-14"/>
                <w:w w:val="105"/>
              </w:rPr>
              <w:t xml:space="preserve"> </w:t>
            </w:r>
            <w:r w:rsidRPr="007C2A46">
              <w:rPr>
                <w:rFonts w:ascii="Arial" w:hAnsi="Arial" w:cs="Arial"/>
                <w:color w:val="161616"/>
                <w:w w:val="105"/>
              </w:rPr>
              <w:t>is</w:t>
            </w:r>
            <w:r w:rsidRPr="007C2A46">
              <w:rPr>
                <w:rFonts w:ascii="Arial" w:hAnsi="Arial" w:cs="Arial"/>
                <w:color w:val="161616"/>
                <w:spacing w:val="-10"/>
                <w:w w:val="105"/>
              </w:rPr>
              <w:t xml:space="preserve"> </w:t>
            </w:r>
            <w:r w:rsidRPr="007C2A46">
              <w:rPr>
                <w:rFonts w:ascii="Arial" w:hAnsi="Arial" w:cs="Arial"/>
                <w:color w:val="161616"/>
                <w:w w:val="105"/>
              </w:rPr>
              <w:t>customer</w:t>
            </w:r>
            <w:r w:rsidRPr="007C2A46">
              <w:rPr>
                <w:rFonts w:ascii="Arial" w:hAnsi="Arial" w:cs="Arial"/>
                <w:color w:val="161616"/>
                <w:spacing w:val="5"/>
                <w:w w:val="105"/>
              </w:rPr>
              <w:t xml:space="preserve"> </w:t>
            </w:r>
            <w:r w:rsidRPr="007C2A46">
              <w:rPr>
                <w:rFonts w:ascii="Arial" w:hAnsi="Arial" w:cs="Arial"/>
                <w:color w:val="161616"/>
                <w:w w:val="105"/>
              </w:rPr>
              <w:t>service.</w:t>
            </w:r>
          </w:p>
        </w:tc>
        <w:tc>
          <w:tcPr>
            <w:tcW w:w="5245" w:type="dxa"/>
          </w:tcPr>
          <w:p w:rsidR="007C2A46" w:rsidRPr="007C2A46" w:rsidRDefault="00C6263B" w:rsidP="007C2A46">
            <w:pPr>
              <w:jc w:val="both"/>
              <w:rPr>
                <w:rFonts w:ascii="Arial" w:hAnsi="Arial" w:cs="Arial"/>
              </w:rPr>
            </w:pPr>
            <w:r>
              <w:rPr>
                <w:rFonts w:ascii="Arial" w:hAnsi="Arial" w:cs="Arial"/>
              </w:rPr>
              <w:t>Please see (7) above</w:t>
            </w:r>
            <w:r w:rsidR="003233CE">
              <w:rPr>
                <w:rFonts w:ascii="Arial" w:hAnsi="Arial" w:cs="Arial"/>
              </w:rPr>
              <w:t>: c/f to 2017-18 action plan</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7C2A46" w:rsidRDefault="007C2A46" w:rsidP="007C2A46">
            <w:pPr>
              <w:widowControl w:val="0"/>
              <w:tabs>
                <w:tab w:val="left" w:pos="463"/>
              </w:tabs>
              <w:autoSpaceDE w:val="0"/>
              <w:autoSpaceDN w:val="0"/>
              <w:spacing w:before="24"/>
              <w:jc w:val="both"/>
              <w:rPr>
                <w:rFonts w:ascii="Arial" w:hAnsi="Arial" w:cs="Arial"/>
                <w:color w:val="161616"/>
                <w:w w:val="105"/>
              </w:rPr>
            </w:pPr>
            <w:r w:rsidRPr="007C2A46">
              <w:rPr>
                <w:rFonts w:ascii="Arial" w:hAnsi="Arial" w:cs="Arial"/>
                <w:color w:val="161616"/>
                <w:w w:val="105"/>
              </w:rPr>
              <w:t>Track</w:t>
            </w:r>
            <w:r w:rsidRPr="007C2A46">
              <w:rPr>
                <w:rFonts w:ascii="Arial" w:hAnsi="Arial" w:cs="Arial"/>
                <w:color w:val="161616"/>
                <w:spacing w:val="-1"/>
                <w:w w:val="105"/>
              </w:rPr>
              <w:t xml:space="preserve"> </w:t>
            </w:r>
            <w:r w:rsidRPr="007C2A46">
              <w:rPr>
                <w:rFonts w:ascii="Arial" w:hAnsi="Arial" w:cs="Arial"/>
                <w:color w:val="161616"/>
                <w:w w:val="105"/>
              </w:rPr>
              <w:t>call</w:t>
            </w:r>
            <w:r w:rsidRPr="007C2A46">
              <w:rPr>
                <w:rFonts w:ascii="Arial" w:hAnsi="Arial" w:cs="Arial"/>
                <w:color w:val="161616"/>
                <w:spacing w:val="-8"/>
                <w:w w:val="105"/>
              </w:rPr>
              <w:t xml:space="preserve"> </w:t>
            </w:r>
            <w:r w:rsidRPr="007C2A46">
              <w:rPr>
                <w:rFonts w:ascii="Arial" w:hAnsi="Arial" w:cs="Arial"/>
                <w:color w:val="161616"/>
                <w:w w:val="105"/>
              </w:rPr>
              <w:t>volumes</w:t>
            </w:r>
            <w:r w:rsidRPr="007C2A46">
              <w:rPr>
                <w:rFonts w:ascii="Arial" w:hAnsi="Arial" w:cs="Arial"/>
                <w:color w:val="161616"/>
                <w:spacing w:val="-4"/>
                <w:w w:val="105"/>
              </w:rPr>
              <w:t xml:space="preserve"> </w:t>
            </w:r>
            <w:r w:rsidRPr="007C2A46">
              <w:rPr>
                <w:rFonts w:ascii="Arial" w:hAnsi="Arial" w:cs="Arial"/>
                <w:color w:val="161616"/>
                <w:w w:val="105"/>
              </w:rPr>
              <w:t>as</w:t>
            </w:r>
            <w:r w:rsidRPr="007C2A46">
              <w:rPr>
                <w:rFonts w:ascii="Arial" w:hAnsi="Arial" w:cs="Arial"/>
                <w:color w:val="161616"/>
                <w:spacing w:val="-8"/>
                <w:w w:val="105"/>
              </w:rPr>
              <w:t xml:space="preserve"> </w:t>
            </w:r>
            <w:r w:rsidRPr="007C2A46">
              <w:rPr>
                <w:rFonts w:ascii="Arial" w:hAnsi="Arial" w:cs="Arial"/>
                <w:color w:val="161616"/>
                <w:w w:val="105"/>
              </w:rPr>
              <w:t>the</w:t>
            </w:r>
            <w:r w:rsidRPr="007C2A46">
              <w:rPr>
                <w:rFonts w:ascii="Arial" w:hAnsi="Arial" w:cs="Arial"/>
                <w:color w:val="161616"/>
                <w:spacing w:val="-11"/>
                <w:w w:val="105"/>
              </w:rPr>
              <w:t xml:space="preserve"> </w:t>
            </w:r>
            <w:r w:rsidRPr="007C2A46">
              <w:rPr>
                <w:rFonts w:ascii="Arial" w:hAnsi="Arial" w:cs="Arial"/>
                <w:color w:val="161616"/>
                <w:w w:val="105"/>
              </w:rPr>
              <w:t>year</w:t>
            </w:r>
            <w:r w:rsidRPr="007C2A46">
              <w:rPr>
                <w:rFonts w:ascii="Arial" w:hAnsi="Arial" w:cs="Arial"/>
                <w:color w:val="161616"/>
                <w:spacing w:val="-6"/>
                <w:w w:val="105"/>
              </w:rPr>
              <w:t xml:space="preserve"> </w:t>
            </w:r>
            <w:r w:rsidRPr="007C2A46">
              <w:rPr>
                <w:rFonts w:ascii="Arial" w:hAnsi="Arial" w:cs="Arial"/>
                <w:color w:val="161616"/>
                <w:w w:val="105"/>
              </w:rPr>
              <w:t>progresses</w:t>
            </w:r>
            <w:r w:rsidRPr="007C2A46">
              <w:rPr>
                <w:rFonts w:ascii="Arial" w:hAnsi="Arial" w:cs="Arial"/>
                <w:color w:val="161616"/>
                <w:spacing w:val="-4"/>
                <w:w w:val="105"/>
              </w:rPr>
              <w:t xml:space="preserve"> </w:t>
            </w:r>
            <w:r w:rsidRPr="007C2A46">
              <w:rPr>
                <w:rFonts w:ascii="Arial" w:hAnsi="Arial" w:cs="Arial"/>
                <w:color w:val="161616"/>
                <w:w w:val="105"/>
              </w:rPr>
              <w:t>to</w:t>
            </w:r>
            <w:r w:rsidRPr="007C2A46">
              <w:rPr>
                <w:rFonts w:ascii="Arial" w:hAnsi="Arial" w:cs="Arial"/>
                <w:color w:val="161616"/>
                <w:spacing w:val="-17"/>
                <w:w w:val="105"/>
              </w:rPr>
              <w:t xml:space="preserve"> </w:t>
            </w:r>
            <w:r w:rsidRPr="007C2A46">
              <w:rPr>
                <w:rFonts w:ascii="Arial" w:hAnsi="Arial" w:cs="Arial"/>
                <w:color w:val="161616"/>
                <w:w w:val="105"/>
              </w:rPr>
              <w:t>identify</w:t>
            </w:r>
            <w:r w:rsidRPr="007C2A46">
              <w:rPr>
                <w:rFonts w:ascii="Arial" w:hAnsi="Arial" w:cs="Arial"/>
                <w:color w:val="161616"/>
                <w:spacing w:val="-9"/>
                <w:w w:val="105"/>
              </w:rPr>
              <w:t xml:space="preserve"> </w:t>
            </w:r>
            <w:r w:rsidRPr="007C2A46">
              <w:rPr>
                <w:rFonts w:ascii="Arial" w:hAnsi="Arial" w:cs="Arial"/>
                <w:color w:val="161616"/>
                <w:w w:val="105"/>
              </w:rPr>
              <w:t>any</w:t>
            </w:r>
            <w:r w:rsidRPr="007C2A46">
              <w:rPr>
                <w:rFonts w:ascii="Arial" w:hAnsi="Arial" w:cs="Arial"/>
                <w:color w:val="161616"/>
                <w:spacing w:val="-12"/>
                <w:w w:val="105"/>
              </w:rPr>
              <w:t xml:space="preserve"> </w:t>
            </w:r>
            <w:r w:rsidRPr="007C2A46">
              <w:rPr>
                <w:rFonts w:ascii="Arial" w:hAnsi="Arial" w:cs="Arial"/>
                <w:color w:val="161616"/>
                <w:w w:val="105"/>
              </w:rPr>
              <w:t>areas</w:t>
            </w:r>
            <w:r w:rsidRPr="007C2A46">
              <w:rPr>
                <w:rFonts w:ascii="Arial" w:hAnsi="Arial" w:cs="Arial"/>
                <w:color w:val="161616"/>
                <w:spacing w:val="-8"/>
                <w:w w:val="105"/>
              </w:rPr>
              <w:t xml:space="preserve"> </w:t>
            </w:r>
            <w:r w:rsidRPr="007C2A46">
              <w:rPr>
                <w:rFonts w:ascii="Arial" w:hAnsi="Arial" w:cs="Arial"/>
                <w:color w:val="161616"/>
                <w:w w:val="105"/>
              </w:rPr>
              <w:t>for</w:t>
            </w:r>
            <w:r w:rsidRPr="007C2A46">
              <w:rPr>
                <w:rFonts w:ascii="Arial" w:hAnsi="Arial" w:cs="Arial"/>
                <w:color w:val="161616"/>
                <w:spacing w:val="-8"/>
                <w:w w:val="105"/>
              </w:rPr>
              <w:t xml:space="preserve"> </w:t>
            </w:r>
            <w:r w:rsidRPr="007C2A46">
              <w:rPr>
                <w:rFonts w:ascii="Arial" w:hAnsi="Arial" w:cs="Arial"/>
                <w:color w:val="161616"/>
                <w:w w:val="105"/>
              </w:rPr>
              <w:t>process</w:t>
            </w:r>
            <w:r w:rsidRPr="007C2A46">
              <w:rPr>
                <w:rFonts w:ascii="Arial" w:hAnsi="Arial" w:cs="Arial"/>
                <w:color w:val="161616"/>
                <w:spacing w:val="-3"/>
                <w:w w:val="105"/>
              </w:rPr>
              <w:t xml:space="preserve"> </w:t>
            </w:r>
            <w:r w:rsidRPr="007C2A46">
              <w:rPr>
                <w:rFonts w:ascii="Arial" w:hAnsi="Arial" w:cs="Arial"/>
                <w:color w:val="161616"/>
                <w:w w:val="105"/>
              </w:rPr>
              <w:t>improvement.</w:t>
            </w:r>
          </w:p>
        </w:tc>
        <w:tc>
          <w:tcPr>
            <w:tcW w:w="5245" w:type="dxa"/>
          </w:tcPr>
          <w:p w:rsidR="007C2A46" w:rsidRPr="007C2A46" w:rsidRDefault="00C6263B" w:rsidP="006D394E">
            <w:pPr>
              <w:jc w:val="both"/>
              <w:rPr>
                <w:rFonts w:ascii="Arial" w:hAnsi="Arial" w:cs="Arial"/>
              </w:rPr>
            </w:pPr>
            <w:r>
              <w:rPr>
                <w:rFonts w:ascii="Arial" w:hAnsi="Arial" w:cs="Arial"/>
              </w:rPr>
              <w:t>Call volumes have been relatively static overall. 201</w:t>
            </w:r>
            <w:r w:rsidR="006D394E">
              <w:rPr>
                <w:rFonts w:ascii="Arial" w:hAnsi="Arial" w:cs="Arial"/>
              </w:rPr>
              <w:t>5-16</w:t>
            </w:r>
            <w:r w:rsidR="008B0D01">
              <w:rPr>
                <w:rFonts w:ascii="Arial" w:hAnsi="Arial" w:cs="Arial"/>
              </w:rPr>
              <w:t xml:space="preserve"> </w:t>
            </w:r>
            <w:proofErr w:type="gramStart"/>
            <w:r w:rsidR="008B0D01">
              <w:rPr>
                <w:rFonts w:ascii="Arial" w:hAnsi="Arial" w:cs="Arial"/>
              </w:rPr>
              <w:t>v</w:t>
            </w:r>
            <w:proofErr w:type="gramEnd"/>
            <w:r w:rsidR="008B0D01">
              <w:rPr>
                <w:rFonts w:ascii="Arial" w:hAnsi="Arial" w:cs="Arial"/>
              </w:rPr>
              <w:t xml:space="preserve"> 2016</w:t>
            </w:r>
            <w:r w:rsidR="006D394E">
              <w:rPr>
                <w:rFonts w:ascii="Arial" w:hAnsi="Arial" w:cs="Arial"/>
              </w:rPr>
              <w:t>-</w:t>
            </w:r>
            <w:r w:rsidR="008B0D01">
              <w:rPr>
                <w:rFonts w:ascii="Arial" w:hAnsi="Arial" w:cs="Arial"/>
              </w:rPr>
              <w:t>17.</w:t>
            </w:r>
            <w:r>
              <w:rPr>
                <w:rFonts w:ascii="Arial" w:hAnsi="Arial" w:cs="Arial"/>
              </w:rPr>
              <w:t xml:space="preserve"> KPI for Trading will monitor</w:t>
            </w:r>
            <w:r w:rsidR="008B0D01">
              <w:rPr>
                <w:rFonts w:ascii="Arial" w:hAnsi="Arial" w:cs="Arial"/>
              </w:rPr>
              <w:t xml:space="preserve"> this</w:t>
            </w:r>
            <w:r>
              <w:rPr>
                <w:rFonts w:ascii="Arial" w:hAnsi="Arial" w:cs="Arial"/>
              </w:rPr>
              <w:t xml:space="preserve"> total, target</w:t>
            </w:r>
            <w:r w:rsidR="008B0D01">
              <w:rPr>
                <w:rFonts w:ascii="Arial" w:hAnsi="Arial" w:cs="Arial"/>
              </w:rPr>
              <w:t>ing a</w:t>
            </w:r>
            <w:r>
              <w:rPr>
                <w:rFonts w:ascii="Arial" w:hAnsi="Arial" w:cs="Arial"/>
              </w:rPr>
              <w:t xml:space="preserve"> 10% reduction.</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7C2A46" w:rsidRDefault="007C2A46" w:rsidP="007C2A46">
            <w:pPr>
              <w:widowControl w:val="0"/>
              <w:tabs>
                <w:tab w:val="left" w:pos="463"/>
              </w:tabs>
              <w:autoSpaceDE w:val="0"/>
              <w:autoSpaceDN w:val="0"/>
              <w:spacing w:before="24" w:line="252" w:lineRule="auto"/>
              <w:ind w:right="121"/>
              <w:jc w:val="both"/>
              <w:rPr>
                <w:rFonts w:ascii="Arial" w:hAnsi="Arial" w:cs="Arial"/>
                <w:color w:val="161616"/>
                <w:w w:val="105"/>
              </w:rPr>
            </w:pPr>
            <w:r w:rsidRPr="007C2A46">
              <w:rPr>
                <w:rFonts w:ascii="Arial" w:hAnsi="Arial" w:cs="Arial"/>
                <w:color w:val="161616"/>
                <w:w w:val="105"/>
              </w:rPr>
              <w:t>Continued focus on resolutions outside 14 days and, more specifically</w:t>
            </w:r>
            <w:r w:rsidRPr="007C2A46">
              <w:rPr>
                <w:rFonts w:ascii="Arial" w:hAnsi="Arial" w:cs="Arial"/>
                <w:color w:val="3D3D3D"/>
                <w:w w:val="105"/>
              </w:rPr>
              <w:t xml:space="preserve">, </w:t>
            </w:r>
            <w:r w:rsidRPr="007C2A46">
              <w:rPr>
                <w:rFonts w:ascii="Arial" w:hAnsi="Arial" w:cs="Arial"/>
                <w:color w:val="161616"/>
                <w:w w:val="105"/>
              </w:rPr>
              <w:t>whether the customer service</w:t>
            </w:r>
            <w:r w:rsidRPr="007C2A46">
              <w:rPr>
                <w:rFonts w:ascii="Arial" w:hAnsi="Arial" w:cs="Arial"/>
                <w:color w:val="161616"/>
                <w:spacing w:val="-7"/>
                <w:w w:val="105"/>
              </w:rPr>
              <w:t xml:space="preserve"> </w:t>
            </w:r>
            <w:r w:rsidRPr="007C2A46">
              <w:rPr>
                <w:rFonts w:ascii="Arial" w:hAnsi="Arial" w:cs="Arial"/>
                <w:color w:val="161616"/>
                <w:w w:val="105"/>
              </w:rPr>
              <w:t>training</w:t>
            </w:r>
            <w:r w:rsidRPr="007C2A46">
              <w:rPr>
                <w:rFonts w:ascii="Arial" w:hAnsi="Arial" w:cs="Arial"/>
                <w:color w:val="161616"/>
                <w:spacing w:val="-6"/>
                <w:w w:val="105"/>
              </w:rPr>
              <w:t xml:space="preserve"> </w:t>
            </w:r>
            <w:r w:rsidRPr="007C2A46">
              <w:rPr>
                <w:rFonts w:ascii="Arial" w:hAnsi="Arial" w:cs="Arial"/>
                <w:color w:val="161616"/>
                <w:w w:val="105"/>
              </w:rPr>
              <w:t>will</w:t>
            </w:r>
            <w:r w:rsidRPr="007C2A46">
              <w:rPr>
                <w:rFonts w:ascii="Arial" w:hAnsi="Arial" w:cs="Arial"/>
                <w:color w:val="161616"/>
                <w:spacing w:val="-6"/>
                <w:w w:val="105"/>
              </w:rPr>
              <w:t xml:space="preserve"> </w:t>
            </w:r>
            <w:r w:rsidRPr="007C2A46">
              <w:rPr>
                <w:rFonts w:ascii="Arial" w:hAnsi="Arial" w:cs="Arial"/>
                <w:color w:val="161616"/>
                <w:w w:val="105"/>
              </w:rPr>
              <w:t>support</w:t>
            </w:r>
            <w:r w:rsidRPr="007C2A46">
              <w:rPr>
                <w:rFonts w:ascii="Arial" w:hAnsi="Arial" w:cs="Arial"/>
                <w:color w:val="161616"/>
                <w:spacing w:val="-3"/>
                <w:w w:val="105"/>
              </w:rPr>
              <w:t xml:space="preserve"> </w:t>
            </w:r>
            <w:r w:rsidRPr="007C2A46">
              <w:rPr>
                <w:rFonts w:ascii="Arial" w:hAnsi="Arial" w:cs="Arial"/>
                <w:color w:val="161616"/>
                <w:w w:val="105"/>
              </w:rPr>
              <w:t>a</w:t>
            </w:r>
            <w:r w:rsidRPr="007C2A46">
              <w:rPr>
                <w:rFonts w:ascii="Arial" w:hAnsi="Arial" w:cs="Arial"/>
                <w:color w:val="161616"/>
                <w:spacing w:val="-14"/>
                <w:w w:val="105"/>
              </w:rPr>
              <w:t xml:space="preserve"> </w:t>
            </w:r>
            <w:r w:rsidRPr="007C2A46">
              <w:rPr>
                <w:rFonts w:ascii="Arial" w:hAnsi="Arial" w:cs="Arial"/>
                <w:color w:val="161616"/>
                <w:w w:val="105"/>
              </w:rPr>
              <w:t>reduction</w:t>
            </w:r>
            <w:r w:rsidRPr="007C2A46">
              <w:rPr>
                <w:rFonts w:ascii="Arial" w:hAnsi="Arial" w:cs="Arial"/>
                <w:color w:val="161616"/>
                <w:spacing w:val="-4"/>
                <w:w w:val="105"/>
              </w:rPr>
              <w:t xml:space="preserve"> </w:t>
            </w:r>
            <w:r w:rsidRPr="007C2A46">
              <w:rPr>
                <w:rFonts w:ascii="Arial" w:hAnsi="Arial" w:cs="Arial"/>
                <w:color w:val="161616"/>
                <w:w w:val="105"/>
              </w:rPr>
              <w:t>in</w:t>
            </w:r>
            <w:r w:rsidRPr="007C2A46">
              <w:rPr>
                <w:rFonts w:ascii="Arial" w:hAnsi="Arial" w:cs="Arial"/>
                <w:color w:val="161616"/>
                <w:spacing w:val="-5"/>
                <w:w w:val="105"/>
              </w:rPr>
              <w:t xml:space="preserve"> </w:t>
            </w:r>
            <w:r w:rsidRPr="007C2A46">
              <w:rPr>
                <w:rFonts w:ascii="Arial" w:hAnsi="Arial" w:cs="Arial"/>
                <w:color w:val="161616"/>
                <w:w w:val="105"/>
              </w:rPr>
              <w:t>service</w:t>
            </w:r>
            <w:r w:rsidRPr="007C2A46">
              <w:rPr>
                <w:rFonts w:ascii="Arial" w:hAnsi="Arial" w:cs="Arial"/>
                <w:color w:val="161616"/>
                <w:spacing w:val="-5"/>
                <w:w w:val="105"/>
              </w:rPr>
              <w:t xml:space="preserve"> </w:t>
            </w:r>
            <w:r w:rsidRPr="007C2A46">
              <w:rPr>
                <w:rFonts w:ascii="Arial" w:hAnsi="Arial" w:cs="Arial"/>
                <w:color w:val="161616"/>
                <w:w w:val="105"/>
              </w:rPr>
              <w:t>complaint</w:t>
            </w:r>
            <w:r w:rsidRPr="007C2A46">
              <w:rPr>
                <w:rFonts w:ascii="Arial" w:hAnsi="Arial" w:cs="Arial"/>
                <w:color w:val="161616"/>
                <w:spacing w:val="3"/>
                <w:w w:val="105"/>
              </w:rPr>
              <w:t xml:space="preserve"> </w:t>
            </w:r>
            <w:r w:rsidRPr="007C2A46">
              <w:rPr>
                <w:rFonts w:ascii="Arial" w:hAnsi="Arial" w:cs="Arial"/>
                <w:color w:val="161616"/>
                <w:w w:val="105"/>
              </w:rPr>
              <w:t>volumes</w:t>
            </w:r>
            <w:r w:rsidRPr="007C2A46">
              <w:rPr>
                <w:rFonts w:ascii="Arial" w:hAnsi="Arial" w:cs="Arial"/>
                <w:color w:val="161616"/>
                <w:spacing w:val="1"/>
                <w:w w:val="105"/>
              </w:rPr>
              <w:t xml:space="preserve"> </w:t>
            </w:r>
            <w:r w:rsidRPr="007C2A46">
              <w:rPr>
                <w:rFonts w:ascii="Arial" w:hAnsi="Arial" w:cs="Arial"/>
                <w:color w:val="161616"/>
                <w:w w:val="105"/>
              </w:rPr>
              <w:t>and</w:t>
            </w:r>
            <w:r w:rsidRPr="007C2A46">
              <w:rPr>
                <w:rFonts w:ascii="Arial" w:hAnsi="Arial" w:cs="Arial"/>
                <w:color w:val="161616"/>
                <w:spacing w:val="-12"/>
                <w:w w:val="105"/>
              </w:rPr>
              <w:t xml:space="preserve"> </w:t>
            </w:r>
            <w:r w:rsidRPr="007C2A46">
              <w:rPr>
                <w:rFonts w:ascii="Arial" w:hAnsi="Arial" w:cs="Arial"/>
                <w:color w:val="161616"/>
                <w:w w:val="105"/>
              </w:rPr>
              <w:t>those</w:t>
            </w:r>
            <w:r w:rsidRPr="007C2A46">
              <w:rPr>
                <w:rFonts w:ascii="Arial" w:hAnsi="Arial" w:cs="Arial"/>
                <w:color w:val="161616"/>
                <w:spacing w:val="-4"/>
                <w:w w:val="105"/>
              </w:rPr>
              <w:t xml:space="preserve"> </w:t>
            </w:r>
            <w:r w:rsidRPr="007C2A46">
              <w:rPr>
                <w:rFonts w:ascii="Arial" w:hAnsi="Arial" w:cs="Arial"/>
                <w:color w:val="161616"/>
                <w:w w:val="105"/>
              </w:rPr>
              <w:t>outside</w:t>
            </w:r>
            <w:r w:rsidRPr="007C2A46">
              <w:rPr>
                <w:rFonts w:ascii="Arial" w:hAnsi="Arial" w:cs="Arial"/>
                <w:color w:val="161616"/>
                <w:spacing w:val="-8"/>
                <w:w w:val="105"/>
              </w:rPr>
              <w:t xml:space="preserve"> </w:t>
            </w:r>
            <w:r w:rsidRPr="007C2A46">
              <w:rPr>
                <w:rFonts w:ascii="Arial" w:hAnsi="Arial" w:cs="Arial"/>
                <w:color w:val="161616"/>
                <w:w w:val="105"/>
              </w:rPr>
              <w:t>14</w:t>
            </w:r>
            <w:r w:rsidRPr="007C2A46">
              <w:rPr>
                <w:rFonts w:ascii="Arial" w:hAnsi="Arial" w:cs="Arial"/>
                <w:color w:val="161616"/>
                <w:spacing w:val="-14"/>
                <w:w w:val="105"/>
              </w:rPr>
              <w:t xml:space="preserve"> </w:t>
            </w:r>
            <w:r w:rsidRPr="007C2A46">
              <w:rPr>
                <w:rFonts w:ascii="Arial" w:hAnsi="Arial" w:cs="Arial"/>
                <w:color w:val="161616"/>
                <w:w w:val="105"/>
              </w:rPr>
              <w:t>days.</w:t>
            </w:r>
          </w:p>
        </w:tc>
        <w:tc>
          <w:tcPr>
            <w:tcW w:w="5245" w:type="dxa"/>
          </w:tcPr>
          <w:p w:rsidR="008B0D01" w:rsidRDefault="00C6263B" w:rsidP="00C6263B">
            <w:pPr>
              <w:jc w:val="both"/>
              <w:rPr>
                <w:rFonts w:ascii="Arial" w:hAnsi="Arial" w:cs="Arial"/>
              </w:rPr>
            </w:pPr>
            <w:r>
              <w:rPr>
                <w:rFonts w:ascii="Arial" w:hAnsi="Arial" w:cs="Arial"/>
              </w:rPr>
              <w:t xml:space="preserve">Plans for 2017/18 include a change in the way </w:t>
            </w:r>
            <w:r w:rsidR="008B0D01">
              <w:rPr>
                <w:rFonts w:ascii="Arial" w:hAnsi="Arial" w:cs="Arial"/>
              </w:rPr>
              <w:t xml:space="preserve">solely </w:t>
            </w:r>
            <w:proofErr w:type="spellStart"/>
            <w:r>
              <w:rPr>
                <w:rFonts w:ascii="Arial" w:hAnsi="Arial" w:cs="Arial"/>
              </w:rPr>
              <w:t>non</w:t>
            </w:r>
            <w:proofErr w:type="spellEnd"/>
            <w:r>
              <w:rPr>
                <w:rFonts w:ascii="Arial" w:hAnsi="Arial" w:cs="Arial"/>
              </w:rPr>
              <w:t xml:space="preserve"> service related complaints (e.g. policy) are handled with a view to Shop Support trying to resolve </w:t>
            </w:r>
            <w:r w:rsidR="008B0D01">
              <w:rPr>
                <w:rFonts w:ascii="Arial" w:hAnsi="Arial" w:cs="Arial"/>
              </w:rPr>
              <w:t xml:space="preserve">most </w:t>
            </w:r>
            <w:r>
              <w:rPr>
                <w:rFonts w:ascii="Arial" w:hAnsi="Arial" w:cs="Arial"/>
              </w:rPr>
              <w:t>without referral</w:t>
            </w:r>
            <w:r w:rsidR="008B0D01">
              <w:rPr>
                <w:rFonts w:ascii="Arial" w:hAnsi="Arial" w:cs="Arial"/>
              </w:rPr>
              <w:t xml:space="preserve"> out to Network.</w:t>
            </w:r>
          </w:p>
          <w:p w:rsidR="007C2A46" w:rsidRPr="007C2A46" w:rsidRDefault="00C6263B" w:rsidP="00C6263B">
            <w:pPr>
              <w:jc w:val="both"/>
              <w:rPr>
                <w:rFonts w:ascii="Arial" w:hAnsi="Arial" w:cs="Arial"/>
              </w:rPr>
            </w:pPr>
            <w:r>
              <w:rPr>
                <w:rFonts w:ascii="Arial" w:hAnsi="Arial" w:cs="Arial"/>
              </w:rPr>
              <w:t>Customer service training planned but as yet not delivered</w:t>
            </w:r>
            <w:r w:rsidR="003233CE">
              <w:rPr>
                <w:rFonts w:ascii="Arial" w:hAnsi="Arial" w:cs="Arial"/>
              </w:rPr>
              <w:t xml:space="preserve">: in 2017-18 action </w:t>
            </w:r>
            <w:proofErr w:type="gramStart"/>
            <w:r w:rsidR="003233CE">
              <w:rPr>
                <w:rFonts w:ascii="Arial" w:hAnsi="Arial" w:cs="Arial"/>
              </w:rPr>
              <w:t>plan</w:t>
            </w:r>
            <w:proofErr w:type="gramEnd"/>
            <w:r>
              <w:rPr>
                <w:rFonts w:ascii="Arial" w:hAnsi="Arial" w:cs="Arial"/>
              </w:rPr>
              <w:t xml:space="preserve">. </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7C2A46" w:rsidRDefault="007C2A46" w:rsidP="007C2A46">
            <w:pPr>
              <w:widowControl w:val="0"/>
              <w:tabs>
                <w:tab w:val="left" w:pos="462"/>
              </w:tabs>
              <w:autoSpaceDE w:val="0"/>
              <w:autoSpaceDN w:val="0"/>
              <w:spacing w:before="13" w:line="252" w:lineRule="auto"/>
              <w:ind w:right="101"/>
              <w:jc w:val="both"/>
              <w:rPr>
                <w:rFonts w:ascii="Arial" w:hAnsi="Arial" w:cs="Arial"/>
                <w:color w:val="161616"/>
                <w:w w:val="105"/>
              </w:rPr>
            </w:pPr>
            <w:r w:rsidRPr="007C2A46">
              <w:rPr>
                <w:rFonts w:ascii="Arial" w:hAnsi="Arial" w:cs="Arial"/>
                <w:color w:val="161616"/>
                <w:w w:val="105"/>
              </w:rPr>
              <w:t>Half year sense-check of data to ensure that complaints continue to be properly differentiated from</w:t>
            </w:r>
            <w:r w:rsidRPr="007C2A46">
              <w:rPr>
                <w:rFonts w:ascii="Arial" w:hAnsi="Arial" w:cs="Arial"/>
                <w:color w:val="161616"/>
                <w:spacing w:val="7"/>
                <w:w w:val="105"/>
              </w:rPr>
              <w:t xml:space="preserve"> </w:t>
            </w:r>
            <w:r w:rsidRPr="007C2A46">
              <w:rPr>
                <w:rFonts w:ascii="Arial" w:hAnsi="Arial" w:cs="Arial"/>
                <w:color w:val="161616"/>
                <w:w w:val="105"/>
              </w:rPr>
              <w:t>feedback</w:t>
            </w:r>
            <w:r w:rsidRPr="007C2A46">
              <w:rPr>
                <w:rFonts w:ascii="Arial" w:hAnsi="Arial" w:cs="Arial"/>
                <w:color w:val="3D3D3D"/>
                <w:w w:val="105"/>
              </w:rPr>
              <w:t>.</w:t>
            </w:r>
          </w:p>
        </w:tc>
        <w:tc>
          <w:tcPr>
            <w:tcW w:w="5245" w:type="dxa"/>
          </w:tcPr>
          <w:p w:rsidR="007C2A46" w:rsidRPr="007C2A46" w:rsidRDefault="00C6263B" w:rsidP="007C2A46">
            <w:pPr>
              <w:jc w:val="both"/>
              <w:rPr>
                <w:rFonts w:ascii="Arial" w:hAnsi="Arial" w:cs="Arial"/>
              </w:rPr>
            </w:pPr>
            <w:r>
              <w:rPr>
                <w:rFonts w:ascii="Arial" w:hAnsi="Arial" w:cs="Arial"/>
              </w:rPr>
              <w:t>This</w:t>
            </w:r>
            <w:r w:rsidR="003233CE">
              <w:rPr>
                <w:rFonts w:ascii="Arial" w:hAnsi="Arial" w:cs="Arial"/>
              </w:rPr>
              <w:t xml:space="preserve"> is in place and</w:t>
            </w:r>
            <w:r>
              <w:rPr>
                <w:rFonts w:ascii="Arial" w:hAnsi="Arial" w:cs="Arial"/>
              </w:rPr>
              <w:t xml:space="preserve"> now forms part of the </w:t>
            </w:r>
            <w:r w:rsidR="008B0D01">
              <w:rPr>
                <w:rFonts w:ascii="Arial" w:hAnsi="Arial" w:cs="Arial"/>
              </w:rPr>
              <w:t xml:space="preserve">half yearly </w:t>
            </w:r>
            <w:r>
              <w:rPr>
                <w:rFonts w:ascii="Arial" w:hAnsi="Arial" w:cs="Arial"/>
              </w:rPr>
              <w:t>review of the data.</w:t>
            </w:r>
          </w:p>
        </w:tc>
      </w:tr>
      <w:tr w:rsidR="007C2A46" w:rsidRPr="003A5732" w:rsidTr="007C2A46">
        <w:tc>
          <w:tcPr>
            <w:tcW w:w="851" w:type="dxa"/>
            <w:tcBorders>
              <w:bottom w:val="single" w:sz="4" w:space="0" w:color="auto"/>
            </w:tcBorders>
          </w:tcPr>
          <w:p w:rsidR="007C2A46" w:rsidRPr="003A5732" w:rsidRDefault="007C2A46" w:rsidP="007C2A46">
            <w:pPr>
              <w:pStyle w:val="ListParagraph"/>
              <w:numPr>
                <w:ilvl w:val="0"/>
                <w:numId w:val="1"/>
              </w:numPr>
              <w:jc w:val="both"/>
              <w:rPr>
                <w:rFonts w:ascii="Arial" w:hAnsi="Arial" w:cs="Arial"/>
              </w:rPr>
            </w:pPr>
          </w:p>
        </w:tc>
        <w:tc>
          <w:tcPr>
            <w:tcW w:w="4536" w:type="dxa"/>
            <w:tcBorders>
              <w:bottom w:val="single" w:sz="4" w:space="0" w:color="auto"/>
            </w:tcBorders>
          </w:tcPr>
          <w:p w:rsidR="007C2A46" w:rsidRPr="007C2A46" w:rsidRDefault="007C2A46" w:rsidP="007C2A46">
            <w:pPr>
              <w:widowControl w:val="0"/>
              <w:tabs>
                <w:tab w:val="left" w:pos="467"/>
              </w:tabs>
              <w:autoSpaceDE w:val="0"/>
              <w:autoSpaceDN w:val="0"/>
              <w:spacing w:before="28" w:line="278" w:lineRule="auto"/>
              <w:ind w:right="116"/>
              <w:jc w:val="both"/>
              <w:rPr>
                <w:rFonts w:ascii="Arial" w:hAnsi="Arial" w:cs="Arial"/>
                <w:color w:val="161616"/>
                <w:w w:val="105"/>
              </w:rPr>
            </w:pPr>
            <w:r w:rsidRPr="007C2A46">
              <w:rPr>
                <w:rFonts w:ascii="Arial" w:hAnsi="Arial" w:cs="Arial"/>
                <w:color w:val="161616"/>
                <w:w w:val="105"/>
              </w:rPr>
              <w:t>Regular discussions/refreshers at Team Meetings to ensure correct procedures are consistently applied.</w:t>
            </w:r>
          </w:p>
        </w:tc>
        <w:tc>
          <w:tcPr>
            <w:tcW w:w="5245" w:type="dxa"/>
            <w:tcBorders>
              <w:bottom w:val="single" w:sz="4" w:space="0" w:color="auto"/>
            </w:tcBorders>
          </w:tcPr>
          <w:p w:rsidR="007C2A46" w:rsidRPr="007C2A46" w:rsidRDefault="003233CE" w:rsidP="003233CE">
            <w:pPr>
              <w:jc w:val="both"/>
              <w:rPr>
                <w:rFonts w:ascii="Arial" w:hAnsi="Arial" w:cs="Arial"/>
              </w:rPr>
            </w:pPr>
            <w:r>
              <w:rPr>
                <w:rFonts w:ascii="Arial" w:hAnsi="Arial" w:cs="Arial"/>
              </w:rPr>
              <w:t>This is in place: r</w:t>
            </w:r>
            <w:r w:rsidR="008B0D01">
              <w:rPr>
                <w:rFonts w:ascii="Arial" w:hAnsi="Arial" w:cs="Arial"/>
              </w:rPr>
              <w:t>em</w:t>
            </w:r>
            <w:r w:rsidR="00475FCF">
              <w:rPr>
                <w:rFonts w:ascii="Arial" w:hAnsi="Arial" w:cs="Arial"/>
              </w:rPr>
              <w:t>inders regularly shared, best practices</w:t>
            </w:r>
            <w:r w:rsidR="008B0D01">
              <w:rPr>
                <w:rFonts w:ascii="Arial" w:hAnsi="Arial" w:cs="Arial"/>
              </w:rPr>
              <w:t xml:space="preserve"> well embedded in team</w:t>
            </w:r>
            <w:r w:rsidR="00C6263B">
              <w:rPr>
                <w:rFonts w:ascii="Arial" w:hAnsi="Arial" w:cs="Arial"/>
              </w:rPr>
              <w:t xml:space="preserve">. Planned change to process (11 above) expected to start end July 2017. </w:t>
            </w:r>
          </w:p>
        </w:tc>
      </w:tr>
      <w:tr w:rsidR="007C2A46" w:rsidRPr="003A5732" w:rsidTr="007C2A46">
        <w:tc>
          <w:tcPr>
            <w:tcW w:w="10632" w:type="dxa"/>
            <w:gridSpan w:val="3"/>
            <w:shd w:val="clear" w:color="auto" w:fill="F2F2F2" w:themeFill="background1" w:themeFillShade="F2"/>
          </w:tcPr>
          <w:p w:rsidR="007C2A46" w:rsidRPr="007C2A46" w:rsidRDefault="007C2A46" w:rsidP="007C2A46">
            <w:pPr>
              <w:jc w:val="both"/>
              <w:rPr>
                <w:rFonts w:ascii="Arial" w:hAnsi="Arial" w:cs="Arial"/>
                <w:b/>
              </w:rPr>
            </w:pPr>
            <w:r w:rsidRPr="007C2A46">
              <w:rPr>
                <w:rFonts w:ascii="Arial" w:hAnsi="Arial" w:cs="Arial"/>
                <w:b/>
                <w:color w:val="161616"/>
                <w:w w:val="105"/>
              </w:rPr>
              <w:t>Supporter Relations</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13133B" w:rsidRDefault="0013133B" w:rsidP="0013133B">
            <w:pPr>
              <w:widowControl w:val="0"/>
              <w:tabs>
                <w:tab w:val="left" w:pos="617"/>
                <w:tab w:val="left" w:pos="619"/>
              </w:tabs>
              <w:autoSpaceDE w:val="0"/>
              <w:autoSpaceDN w:val="0"/>
              <w:spacing w:before="35"/>
              <w:ind w:right="202"/>
              <w:jc w:val="both"/>
              <w:rPr>
                <w:rFonts w:ascii="Arial" w:hAnsi="Arial" w:cs="Arial"/>
                <w:color w:val="161616"/>
                <w:w w:val="105"/>
              </w:rPr>
            </w:pPr>
            <w:r w:rsidRPr="0013133B">
              <w:rPr>
                <w:rFonts w:ascii="Arial" w:hAnsi="Arial" w:cs="Arial"/>
                <w:color w:val="1A1A1A"/>
                <w:w w:val="105"/>
              </w:rPr>
              <w:t>Supporter Relations to continue training on Complaints and Vulnerable people processes, at least twice a</w:t>
            </w:r>
            <w:r w:rsidRPr="0013133B">
              <w:rPr>
                <w:rFonts w:ascii="Arial" w:hAnsi="Arial" w:cs="Arial"/>
                <w:color w:val="1A1A1A"/>
                <w:spacing w:val="-11"/>
                <w:w w:val="105"/>
              </w:rPr>
              <w:t xml:space="preserve"> </w:t>
            </w:r>
            <w:r w:rsidRPr="0013133B">
              <w:rPr>
                <w:rFonts w:ascii="Arial" w:hAnsi="Arial" w:cs="Arial"/>
                <w:color w:val="1A1A1A"/>
                <w:w w:val="105"/>
              </w:rPr>
              <w:t>year.</w:t>
            </w:r>
          </w:p>
        </w:tc>
        <w:tc>
          <w:tcPr>
            <w:tcW w:w="5245" w:type="dxa"/>
          </w:tcPr>
          <w:p w:rsidR="007C2A46" w:rsidRPr="0013133B" w:rsidRDefault="00730E57" w:rsidP="0013133B">
            <w:pPr>
              <w:jc w:val="both"/>
              <w:rPr>
                <w:rFonts w:ascii="Arial" w:hAnsi="Arial" w:cs="Arial"/>
              </w:rPr>
            </w:pPr>
            <w:r>
              <w:rPr>
                <w:rFonts w:ascii="Arial" w:hAnsi="Arial" w:cs="Arial"/>
              </w:rPr>
              <w:t xml:space="preserve">Yes, this has continued. All staff </w:t>
            </w:r>
            <w:proofErr w:type="gramStart"/>
            <w:r>
              <w:rPr>
                <w:rFonts w:ascii="Arial" w:hAnsi="Arial" w:cs="Arial"/>
              </w:rPr>
              <w:t>have</w:t>
            </w:r>
            <w:proofErr w:type="gramEnd"/>
            <w:r>
              <w:rPr>
                <w:rFonts w:ascii="Arial" w:hAnsi="Arial" w:cs="Arial"/>
              </w:rPr>
              <w:t xml:space="preserve"> received refresher training on these areas, and this is being reviewed again in light of </w:t>
            </w:r>
            <w:r w:rsidR="00D44635">
              <w:rPr>
                <w:rFonts w:ascii="Arial" w:hAnsi="Arial" w:cs="Arial"/>
              </w:rPr>
              <w:t>emerging guidance from the new Fundraising Regulator on complaint management.</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13133B" w:rsidRDefault="0013133B" w:rsidP="0013133B">
            <w:pPr>
              <w:widowControl w:val="0"/>
              <w:tabs>
                <w:tab w:val="left" w:pos="467"/>
              </w:tabs>
              <w:autoSpaceDE w:val="0"/>
              <w:autoSpaceDN w:val="0"/>
              <w:spacing w:before="28" w:line="278" w:lineRule="auto"/>
              <w:ind w:right="116"/>
              <w:jc w:val="both"/>
              <w:rPr>
                <w:rFonts w:ascii="Arial" w:hAnsi="Arial" w:cs="Arial"/>
                <w:color w:val="161616"/>
                <w:w w:val="105"/>
              </w:rPr>
            </w:pPr>
            <w:r w:rsidRPr="0013133B">
              <w:rPr>
                <w:rFonts w:ascii="Arial" w:hAnsi="Arial" w:cs="Arial"/>
                <w:color w:val="1A1A1A"/>
                <w:w w:val="105"/>
              </w:rPr>
              <w:t>Use</w:t>
            </w:r>
            <w:r w:rsidRPr="0013133B">
              <w:rPr>
                <w:rFonts w:ascii="Arial" w:hAnsi="Arial" w:cs="Arial"/>
                <w:color w:val="1A1A1A"/>
                <w:spacing w:val="-1"/>
                <w:w w:val="105"/>
              </w:rPr>
              <w:t xml:space="preserve"> </w:t>
            </w:r>
            <w:r w:rsidRPr="0013133B">
              <w:rPr>
                <w:rFonts w:ascii="Arial" w:hAnsi="Arial" w:cs="Arial"/>
                <w:color w:val="1A1A1A"/>
                <w:w w:val="105"/>
              </w:rPr>
              <w:t>the</w:t>
            </w:r>
            <w:r w:rsidRPr="0013133B">
              <w:rPr>
                <w:rFonts w:ascii="Arial" w:hAnsi="Arial" w:cs="Arial"/>
                <w:color w:val="1A1A1A"/>
                <w:spacing w:val="-7"/>
                <w:w w:val="105"/>
              </w:rPr>
              <w:t xml:space="preserve"> </w:t>
            </w:r>
            <w:r w:rsidRPr="0013133B">
              <w:rPr>
                <w:rFonts w:ascii="Arial" w:hAnsi="Arial" w:cs="Arial"/>
                <w:color w:val="1A1A1A"/>
                <w:w w:val="105"/>
              </w:rPr>
              <w:t>training</w:t>
            </w:r>
            <w:r w:rsidRPr="0013133B">
              <w:rPr>
                <w:rFonts w:ascii="Arial" w:hAnsi="Arial" w:cs="Arial"/>
                <w:color w:val="1A1A1A"/>
                <w:spacing w:val="-7"/>
                <w:w w:val="105"/>
              </w:rPr>
              <w:t xml:space="preserve"> </w:t>
            </w:r>
            <w:r w:rsidRPr="0013133B">
              <w:rPr>
                <w:rFonts w:ascii="Arial" w:hAnsi="Arial" w:cs="Arial"/>
                <w:color w:val="1A1A1A"/>
                <w:w w:val="105"/>
              </w:rPr>
              <w:t>team</w:t>
            </w:r>
            <w:r w:rsidRPr="0013133B">
              <w:rPr>
                <w:rFonts w:ascii="Arial" w:hAnsi="Arial" w:cs="Arial"/>
                <w:color w:val="1A1A1A"/>
                <w:spacing w:val="4"/>
                <w:w w:val="105"/>
              </w:rPr>
              <w:t xml:space="preserve"> </w:t>
            </w:r>
            <w:r w:rsidRPr="0013133B">
              <w:rPr>
                <w:rFonts w:ascii="Arial" w:hAnsi="Arial" w:cs="Arial"/>
                <w:color w:val="1A1A1A"/>
                <w:w w:val="105"/>
              </w:rPr>
              <w:t>to</w:t>
            </w:r>
            <w:r w:rsidRPr="0013133B">
              <w:rPr>
                <w:rFonts w:ascii="Arial" w:hAnsi="Arial" w:cs="Arial"/>
                <w:color w:val="1A1A1A"/>
                <w:spacing w:val="-7"/>
                <w:w w:val="105"/>
              </w:rPr>
              <w:t xml:space="preserve"> </w:t>
            </w:r>
            <w:r w:rsidRPr="0013133B">
              <w:rPr>
                <w:rFonts w:ascii="Arial" w:hAnsi="Arial" w:cs="Arial"/>
                <w:color w:val="1A1A1A"/>
                <w:w w:val="105"/>
              </w:rPr>
              <w:t>quality</w:t>
            </w:r>
            <w:r w:rsidRPr="0013133B">
              <w:rPr>
                <w:rFonts w:ascii="Arial" w:hAnsi="Arial" w:cs="Arial"/>
                <w:color w:val="1A1A1A"/>
                <w:spacing w:val="-6"/>
                <w:w w:val="105"/>
              </w:rPr>
              <w:t xml:space="preserve"> </w:t>
            </w:r>
            <w:r w:rsidRPr="0013133B">
              <w:rPr>
                <w:rFonts w:ascii="Arial" w:hAnsi="Arial" w:cs="Arial"/>
                <w:color w:val="1A1A1A"/>
                <w:w w:val="105"/>
              </w:rPr>
              <w:t>check</w:t>
            </w:r>
            <w:r w:rsidRPr="0013133B">
              <w:rPr>
                <w:rFonts w:ascii="Arial" w:hAnsi="Arial" w:cs="Arial"/>
                <w:color w:val="1A1A1A"/>
                <w:spacing w:val="-2"/>
                <w:w w:val="105"/>
              </w:rPr>
              <w:t xml:space="preserve"> </w:t>
            </w:r>
            <w:r w:rsidRPr="0013133B">
              <w:rPr>
                <w:rFonts w:ascii="Arial" w:hAnsi="Arial" w:cs="Arial"/>
                <w:color w:val="1A1A1A"/>
                <w:w w:val="105"/>
              </w:rPr>
              <w:t>feedback</w:t>
            </w:r>
            <w:r w:rsidRPr="0013133B">
              <w:rPr>
                <w:rFonts w:ascii="Arial" w:hAnsi="Arial" w:cs="Arial"/>
                <w:color w:val="1A1A1A"/>
                <w:spacing w:val="2"/>
                <w:w w:val="105"/>
              </w:rPr>
              <w:t xml:space="preserve"> </w:t>
            </w:r>
            <w:r w:rsidRPr="0013133B">
              <w:rPr>
                <w:rFonts w:ascii="Arial" w:hAnsi="Arial" w:cs="Arial"/>
                <w:color w:val="1A1A1A"/>
                <w:w w:val="105"/>
              </w:rPr>
              <w:t>logged and</w:t>
            </w:r>
            <w:r w:rsidRPr="0013133B">
              <w:rPr>
                <w:rFonts w:ascii="Arial" w:hAnsi="Arial" w:cs="Arial"/>
                <w:color w:val="1A1A1A"/>
                <w:spacing w:val="-4"/>
                <w:w w:val="105"/>
              </w:rPr>
              <w:t xml:space="preserve"> </w:t>
            </w:r>
            <w:r w:rsidRPr="0013133B">
              <w:rPr>
                <w:rFonts w:ascii="Arial" w:hAnsi="Arial" w:cs="Arial"/>
                <w:color w:val="1A1A1A"/>
                <w:w w:val="105"/>
              </w:rPr>
              <w:t>to</w:t>
            </w:r>
            <w:r w:rsidRPr="0013133B">
              <w:rPr>
                <w:rFonts w:ascii="Arial" w:hAnsi="Arial" w:cs="Arial"/>
                <w:color w:val="1A1A1A"/>
                <w:spacing w:val="-8"/>
                <w:w w:val="105"/>
              </w:rPr>
              <w:t xml:space="preserve"> </w:t>
            </w:r>
            <w:r w:rsidRPr="0013133B">
              <w:rPr>
                <w:rFonts w:ascii="Arial" w:hAnsi="Arial" w:cs="Arial"/>
                <w:color w:val="1A1A1A"/>
                <w:w w:val="105"/>
              </w:rPr>
              <w:t>ensure</w:t>
            </w:r>
            <w:r w:rsidRPr="0013133B">
              <w:rPr>
                <w:rFonts w:ascii="Arial" w:hAnsi="Arial" w:cs="Arial"/>
                <w:color w:val="1A1A1A"/>
                <w:spacing w:val="3"/>
                <w:w w:val="105"/>
              </w:rPr>
              <w:t xml:space="preserve"> </w:t>
            </w:r>
            <w:r w:rsidRPr="0013133B">
              <w:rPr>
                <w:rFonts w:ascii="Arial" w:hAnsi="Arial" w:cs="Arial"/>
                <w:color w:val="1A1A1A"/>
                <w:w w:val="105"/>
              </w:rPr>
              <w:t>team</w:t>
            </w:r>
            <w:r w:rsidRPr="0013133B">
              <w:rPr>
                <w:rFonts w:ascii="Arial" w:hAnsi="Arial" w:cs="Arial"/>
                <w:color w:val="1A1A1A"/>
                <w:spacing w:val="-5"/>
                <w:w w:val="105"/>
              </w:rPr>
              <w:t xml:space="preserve"> </w:t>
            </w:r>
            <w:r w:rsidRPr="0013133B">
              <w:rPr>
                <w:rFonts w:ascii="Arial" w:hAnsi="Arial" w:cs="Arial"/>
                <w:color w:val="1A1A1A"/>
                <w:w w:val="105"/>
              </w:rPr>
              <w:t>learn</w:t>
            </w:r>
            <w:r w:rsidRPr="0013133B">
              <w:rPr>
                <w:rFonts w:ascii="Arial" w:hAnsi="Arial" w:cs="Arial"/>
                <w:color w:val="1A1A1A"/>
                <w:spacing w:val="-10"/>
                <w:w w:val="105"/>
              </w:rPr>
              <w:t xml:space="preserve"> </w:t>
            </w:r>
            <w:r w:rsidRPr="0013133B">
              <w:rPr>
                <w:rFonts w:ascii="Arial" w:hAnsi="Arial" w:cs="Arial"/>
                <w:color w:val="1A1A1A"/>
                <w:w w:val="105"/>
              </w:rPr>
              <w:t>from</w:t>
            </w:r>
            <w:r w:rsidRPr="0013133B">
              <w:rPr>
                <w:rFonts w:ascii="Arial" w:hAnsi="Arial" w:cs="Arial"/>
                <w:color w:val="1A1A1A"/>
                <w:spacing w:val="-3"/>
                <w:w w:val="105"/>
              </w:rPr>
              <w:t xml:space="preserve"> </w:t>
            </w:r>
            <w:r w:rsidRPr="0013133B">
              <w:rPr>
                <w:rFonts w:ascii="Arial" w:hAnsi="Arial" w:cs="Arial"/>
                <w:color w:val="1A1A1A"/>
                <w:w w:val="105"/>
              </w:rPr>
              <w:t>feedback</w:t>
            </w:r>
            <w:r>
              <w:rPr>
                <w:rFonts w:ascii="Arial" w:hAnsi="Arial" w:cs="Arial"/>
                <w:color w:val="1A1A1A"/>
                <w:w w:val="105"/>
              </w:rPr>
              <w:t>.</w:t>
            </w:r>
          </w:p>
        </w:tc>
        <w:tc>
          <w:tcPr>
            <w:tcW w:w="5245" w:type="dxa"/>
          </w:tcPr>
          <w:p w:rsidR="007C2A46" w:rsidRPr="0013133B" w:rsidRDefault="00D44635" w:rsidP="0013133B">
            <w:pPr>
              <w:jc w:val="both"/>
              <w:rPr>
                <w:rFonts w:ascii="Arial" w:hAnsi="Arial" w:cs="Arial"/>
              </w:rPr>
            </w:pPr>
            <w:r>
              <w:rPr>
                <w:rFonts w:ascii="Arial" w:hAnsi="Arial" w:cs="Arial"/>
              </w:rPr>
              <w:t>This is in place, and is being enhanced further so that it is included in our monthly quality monitoring reporting.</w:t>
            </w:r>
          </w:p>
        </w:tc>
      </w:tr>
      <w:tr w:rsidR="007C2A46" w:rsidRPr="003A5732" w:rsidTr="007C2A46">
        <w:tc>
          <w:tcPr>
            <w:tcW w:w="851" w:type="dxa"/>
          </w:tcPr>
          <w:p w:rsidR="007C2A46" w:rsidRPr="003A5732" w:rsidRDefault="007C2A46" w:rsidP="007C2A46">
            <w:pPr>
              <w:pStyle w:val="ListParagraph"/>
              <w:numPr>
                <w:ilvl w:val="0"/>
                <w:numId w:val="1"/>
              </w:numPr>
              <w:jc w:val="both"/>
              <w:rPr>
                <w:rFonts w:ascii="Arial" w:hAnsi="Arial" w:cs="Arial"/>
              </w:rPr>
            </w:pPr>
          </w:p>
        </w:tc>
        <w:tc>
          <w:tcPr>
            <w:tcW w:w="4536" w:type="dxa"/>
          </w:tcPr>
          <w:p w:rsidR="007C2A46" w:rsidRPr="0013133B" w:rsidRDefault="0013133B" w:rsidP="0013133B">
            <w:pPr>
              <w:widowControl w:val="0"/>
              <w:tabs>
                <w:tab w:val="left" w:pos="616"/>
                <w:tab w:val="left" w:pos="617"/>
              </w:tabs>
              <w:autoSpaceDE w:val="0"/>
              <w:autoSpaceDN w:val="0"/>
              <w:spacing w:before="11" w:line="249" w:lineRule="auto"/>
              <w:ind w:right="202"/>
              <w:jc w:val="both"/>
              <w:rPr>
                <w:rFonts w:ascii="Arial" w:hAnsi="Arial" w:cs="Arial"/>
                <w:color w:val="161616"/>
                <w:w w:val="105"/>
              </w:rPr>
            </w:pPr>
            <w:r w:rsidRPr="0013133B">
              <w:rPr>
                <w:rFonts w:ascii="Arial" w:hAnsi="Arial" w:cs="Arial"/>
                <w:color w:val="1A1A1A"/>
                <w:w w:val="105"/>
              </w:rPr>
              <w:t>Produce monthly reports for</w:t>
            </w:r>
            <w:r>
              <w:rPr>
                <w:rFonts w:ascii="Arial" w:hAnsi="Arial" w:cs="Arial"/>
                <w:color w:val="1A1A1A"/>
                <w:w w:val="105"/>
              </w:rPr>
              <w:t xml:space="preserve"> Fundraising Leadership Team </w:t>
            </w:r>
            <w:r w:rsidRPr="0013133B">
              <w:rPr>
                <w:rFonts w:ascii="Arial" w:hAnsi="Arial" w:cs="Arial"/>
                <w:color w:val="1A1A1A"/>
                <w:w w:val="105"/>
              </w:rPr>
              <w:t>and compliance manager, keep an eye on trends and raise awareness to any particular</w:t>
            </w:r>
            <w:r w:rsidRPr="0013133B">
              <w:rPr>
                <w:rFonts w:ascii="Arial" w:hAnsi="Arial" w:cs="Arial"/>
                <w:color w:val="1A1A1A"/>
                <w:spacing w:val="-18"/>
                <w:w w:val="105"/>
              </w:rPr>
              <w:t xml:space="preserve"> </w:t>
            </w:r>
            <w:r w:rsidRPr="0013133B">
              <w:rPr>
                <w:rFonts w:ascii="Arial" w:hAnsi="Arial" w:cs="Arial"/>
                <w:color w:val="1A1A1A"/>
                <w:w w:val="105"/>
              </w:rPr>
              <w:t>peaks.</w:t>
            </w:r>
          </w:p>
        </w:tc>
        <w:tc>
          <w:tcPr>
            <w:tcW w:w="5245" w:type="dxa"/>
          </w:tcPr>
          <w:p w:rsidR="007C2A46" w:rsidRPr="0013133B" w:rsidRDefault="00D44635" w:rsidP="0013133B">
            <w:pPr>
              <w:jc w:val="both"/>
              <w:rPr>
                <w:rFonts w:ascii="Arial" w:hAnsi="Arial" w:cs="Arial"/>
              </w:rPr>
            </w:pPr>
            <w:r>
              <w:rPr>
                <w:rFonts w:ascii="Arial" w:hAnsi="Arial" w:cs="Arial"/>
              </w:rPr>
              <w:t>Yes, this is in place. Each month our Fundraising Leadership team, receive the total for fundraising complaints, with details of any exceptional figures. We have additionally monitored telemarketing complaint levels and complaint rates this year, as the remaining higher risk fundraising method in use.</w:t>
            </w:r>
          </w:p>
        </w:tc>
      </w:tr>
    </w:tbl>
    <w:p w:rsidR="003233CE" w:rsidRDefault="003233CE" w:rsidP="00D3727A">
      <w:pPr>
        <w:ind w:left="-567"/>
        <w:jc w:val="both"/>
        <w:rPr>
          <w:rFonts w:ascii="Arial" w:hAnsi="Arial" w:cs="Arial"/>
          <w:b/>
        </w:rPr>
      </w:pPr>
    </w:p>
    <w:p w:rsidR="003233CE" w:rsidRDefault="003233CE">
      <w:pPr>
        <w:rPr>
          <w:rFonts w:ascii="Arial" w:hAnsi="Arial" w:cs="Arial"/>
          <w:b/>
        </w:rPr>
      </w:pPr>
      <w:r>
        <w:rPr>
          <w:rFonts w:ascii="Arial" w:hAnsi="Arial" w:cs="Arial"/>
          <w:b/>
        </w:rPr>
        <w:br w:type="page"/>
      </w:r>
    </w:p>
    <w:p w:rsidR="00D3727A" w:rsidRPr="003A5732" w:rsidRDefault="00D3727A" w:rsidP="00D3727A">
      <w:pPr>
        <w:ind w:left="-567"/>
        <w:jc w:val="both"/>
        <w:rPr>
          <w:rFonts w:ascii="Arial" w:hAnsi="Arial" w:cs="Arial"/>
          <w:b/>
        </w:rPr>
      </w:pPr>
      <w:r>
        <w:rPr>
          <w:rFonts w:ascii="Arial" w:hAnsi="Arial" w:cs="Arial"/>
          <w:b/>
        </w:rPr>
        <w:lastRenderedPageBreak/>
        <w:t>Annex 2:</w:t>
      </w:r>
      <w:r>
        <w:rPr>
          <w:rFonts w:ascii="Arial" w:hAnsi="Arial" w:cs="Arial"/>
          <w:b/>
        </w:rPr>
        <w:tab/>
        <w:t>Action Plan 20</w:t>
      </w:r>
      <w:r w:rsidRPr="003A5732">
        <w:rPr>
          <w:rFonts w:ascii="Arial" w:hAnsi="Arial" w:cs="Arial"/>
          <w:b/>
        </w:rPr>
        <w:t>17</w:t>
      </w:r>
      <w:r>
        <w:rPr>
          <w:rFonts w:ascii="Arial" w:hAnsi="Arial" w:cs="Arial"/>
          <w:b/>
        </w:rPr>
        <w:t>-18</w:t>
      </w:r>
      <w:r w:rsidR="006B0B1D">
        <w:rPr>
          <w:rFonts w:ascii="Arial" w:hAnsi="Arial" w:cs="Arial"/>
          <w:b/>
        </w:rPr>
        <w:t xml:space="preserve"> </w:t>
      </w:r>
    </w:p>
    <w:tbl>
      <w:tblPr>
        <w:tblStyle w:val="TableGrid"/>
        <w:tblW w:w="10632" w:type="dxa"/>
        <w:tblInd w:w="-743" w:type="dxa"/>
        <w:tblLayout w:type="fixed"/>
        <w:tblLook w:val="04A0"/>
      </w:tblPr>
      <w:tblGrid>
        <w:gridCol w:w="993"/>
        <w:gridCol w:w="6946"/>
        <w:gridCol w:w="2693"/>
      </w:tblGrid>
      <w:tr w:rsidR="009F7C77" w:rsidRPr="003A5732" w:rsidTr="009F7C77">
        <w:trPr>
          <w:tblHeader/>
        </w:trPr>
        <w:tc>
          <w:tcPr>
            <w:tcW w:w="7939" w:type="dxa"/>
            <w:gridSpan w:val="2"/>
            <w:tcBorders>
              <w:bottom w:val="single" w:sz="4" w:space="0" w:color="auto"/>
            </w:tcBorders>
            <w:shd w:val="clear" w:color="auto" w:fill="D9D9D9" w:themeFill="background1" w:themeFillShade="D9"/>
          </w:tcPr>
          <w:p w:rsidR="009F7C77" w:rsidRPr="003A5732" w:rsidRDefault="009F7C77" w:rsidP="00D3727A">
            <w:pPr>
              <w:jc w:val="both"/>
              <w:rPr>
                <w:rFonts w:ascii="Arial" w:hAnsi="Arial" w:cs="Arial"/>
                <w:b/>
              </w:rPr>
            </w:pPr>
            <w:r>
              <w:rPr>
                <w:rFonts w:ascii="Arial" w:hAnsi="Arial" w:cs="Arial"/>
                <w:b/>
              </w:rPr>
              <w:t xml:space="preserve">Action </w:t>
            </w:r>
          </w:p>
        </w:tc>
        <w:tc>
          <w:tcPr>
            <w:tcW w:w="2693" w:type="dxa"/>
            <w:tcBorders>
              <w:bottom w:val="single" w:sz="4" w:space="0" w:color="auto"/>
            </w:tcBorders>
            <w:shd w:val="clear" w:color="auto" w:fill="D9D9D9" w:themeFill="background1" w:themeFillShade="D9"/>
          </w:tcPr>
          <w:p w:rsidR="009F7C77" w:rsidRPr="00032C39" w:rsidRDefault="009F7C77" w:rsidP="00D3727A">
            <w:pPr>
              <w:jc w:val="both"/>
              <w:rPr>
                <w:rFonts w:ascii="Arial" w:hAnsi="Arial" w:cs="Arial"/>
                <w:b/>
              </w:rPr>
            </w:pPr>
            <w:r w:rsidRPr="00032C39">
              <w:rPr>
                <w:rFonts w:ascii="Arial" w:hAnsi="Arial" w:cs="Arial"/>
                <w:b/>
              </w:rPr>
              <w:t>Timescale</w:t>
            </w:r>
          </w:p>
        </w:tc>
      </w:tr>
      <w:tr w:rsidR="009F7C77" w:rsidRPr="003A5732" w:rsidTr="00230F11">
        <w:tc>
          <w:tcPr>
            <w:tcW w:w="10632" w:type="dxa"/>
            <w:gridSpan w:val="3"/>
            <w:shd w:val="clear" w:color="auto" w:fill="FFFFFF" w:themeFill="background1"/>
          </w:tcPr>
          <w:p w:rsidR="009F7C77" w:rsidRPr="009F7C77" w:rsidRDefault="009F7C77" w:rsidP="006B0B1D">
            <w:pPr>
              <w:tabs>
                <w:tab w:val="left" w:pos="1360"/>
              </w:tabs>
              <w:jc w:val="both"/>
              <w:rPr>
                <w:rFonts w:ascii="Arial" w:hAnsi="Arial" w:cs="Arial"/>
                <w:b/>
                <w:color w:val="181818"/>
                <w:w w:val="105"/>
              </w:rPr>
            </w:pPr>
            <w:r w:rsidRPr="009F7C77">
              <w:rPr>
                <w:rFonts w:ascii="Arial" w:hAnsi="Arial" w:cs="Arial"/>
                <w:b/>
                <w:color w:val="181818"/>
                <w:w w:val="105"/>
              </w:rPr>
              <w:t>Complaints Group</w:t>
            </w:r>
          </w:p>
        </w:tc>
      </w:tr>
      <w:tr w:rsidR="009F7C77" w:rsidRPr="003A5732" w:rsidTr="009F7C77">
        <w:tc>
          <w:tcPr>
            <w:tcW w:w="993" w:type="dxa"/>
            <w:shd w:val="clear" w:color="auto" w:fill="FFFFFF" w:themeFill="background1"/>
          </w:tcPr>
          <w:p w:rsidR="009F7C77" w:rsidRPr="006B0B1D" w:rsidRDefault="009F7C77" w:rsidP="006B0B1D">
            <w:pPr>
              <w:pStyle w:val="ListParagraph"/>
              <w:tabs>
                <w:tab w:val="left" w:pos="1360"/>
              </w:tabs>
              <w:ind w:hanging="403"/>
              <w:jc w:val="both"/>
              <w:rPr>
                <w:rFonts w:ascii="Arial" w:hAnsi="Arial" w:cs="Arial"/>
                <w:color w:val="181818"/>
                <w:w w:val="105"/>
              </w:rPr>
            </w:pPr>
            <w:r w:rsidRPr="006B0B1D">
              <w:rPr>
                <w:rFonts w:ascii="Arial" w:hAnsi="Arial" w:cs="Arial"/>
                <w:color w:val="181818"/>
                <w:w w:val="105"/>
              </w:rPr>
              <w:t>1.</w:t>
            </w:r>
          </w:p>
        </w:tc>
        <w:tc>
          <w:tcPr>
            <w:tcW w:w="6946" w:type="dxa"/>
            <w:shd w:val="clear" w:color="auto" w:fill="FFFFFF" w:themeFill="background1"/>
          </w:tcPr>
          <w:p w:rsidR="009F7C77" w:rsidRPr="00990EDD" w:rsidRDefault="009F7C77" w:rsidP="009D26C7">
            <w:pPr>
              <w:tabs>
                <w:tab w:val="left" w:pos="1360"/>
              </w:tabs>
              <w:jc w:val="both"/>
              <w:rPr>
                <w:rFonts w:ascii="Arial" w:hAnsi="Arial" w:cs="Arial"/>
                <w:color w:val="181818"/>
                <w:w w:val="105"/>
              </w:rPr>
            </w:pPr>
            <w:r>
              <w:rPr>
                <w:rFonts w:ascii="Arial" w:hAnsi="Arial" w:cs="Arial"/>
                <w:color w:val="181818"/>
                <w:w w:val="105"/>
              </w:rPr>
              <w:t>Improve complaints communications by e</w:t>
            </w:r>
            <w:r w:rsidRPr="00990EDD">
              <w:rPr>
                <w:rFonts w:ascii="Arial" w:hAnsi="Arial" w:cs="Arial"/>
                <w:color w:val="181818"/>
                <w:w w:val="105"/>
              </w:rPr>
              <w:t>nsur</w:t>
            </w:r>
            <w:r>
              <w:rPr>
                <w:rFonts w:ascii="Arial" w:hAnsi="Arial" w:cs="Arial"/>
                <w:color w:val="181818"/>
                <w:w w:val="105"/>
              </w:rPr>
              <w:t>ing</w:t>
            </w:r>
            <w:r w:rsidRPr="00990EDD">
              <w:rPr>
                <w:rFonts w:ascii="Arial" w:hAnsi="Arial" w:cs="Arial"/>
                <w:color w:val="181818"/>
                <w:w w:val="105"/>
              </w:rPr>
              <w:t xml:space="preserve"> OGB website and intranet</w:t>
            </w:r>
            <w:r>
              <w:rPr>
                <w:rFonts w:ascii="Arial" w:hAnsi="Arial" w:cs="Arial"/>
                <w:color w:val="181818"/>
                <w:w w:val="105"/>
              </w:rPr>
              <w:t xml:space="preserve"> </w:t>
            </w:r>
            <w:r w:rsidRPr="00990EDD">
              <w:rPr>
                <w:rFonts w:ascii="Arial" w:hAnsi="Arial" w:cs="Arial"/>
                <w:color w:val="181818"/>
                <w:w w:val="105"/>
              </w:rPr>
              <w:t>includ</w:t>
            </w:r>
            <w:r>
              <w:rPr>
                <w:rFonts w:ascii="Arial" w:hAnsi="Arial" w:cs="Arial"/>
                <w:color w:val="181818"/>
                <w:w w:val="105"/>
              </w:rPr>
              <w:t>e</w:t>
            </w:r>
            <w:r w:rsidRPr="00990EDD">
              <w:rPr>
                <w:rFonts w:ascii="Arial" w:hAnsi="Arial" w:cs="Arial"/>
                <w:color w:val="181818"/>
                <w:w w:val="105"/>
              </w:rPr>
              <w:t xml:space="preserve"> all annexes to the Complaints Polic</w:t>
            </w:r>
            <w:r>
              <w:rPr>
                <w:rFonts w:ascii="Arial" w:hAnsi="Arial" w:cs="Arial"/>
                <w:color w:val="181818"/>
                <w:w w:val="105"/>
              </w:rPr>
              <w:t>y, 2015</w:t>
            </w:r>
            <w:r w:rsidRPr="00990EDD">
              <w:rPr>
                <w:rFonts w:ascii="Arial" w:hAnsi="Arial" w:cs="Arial"/>
                <w:color w:val="181818"/>
                <w:w w:val="105"/>
              </w:rPr>
              <w:t>-16 and 2016-</w:t>
            </w:r>
            <w:r>
              <w:rPr>
                <w:rFonts w:ascii="Arial" w:hAnsi="Arial" w:cs="Arial"/>
                <w:color w:val="181818"/>
                <w:w w:val="105"/>
              </w:rPr>
              <w:t xml:space="preserve">17 </w:t>
            </w:r>
            <w:r w:rsidRPr="00990EDD">
              <w:rPr>
                <w:rFonts w:ascii="Arial" w:hAnsi="Arial" w:cs="Arial"/>
                <w:color w:val="181818"/>
                <w:w w:val="105"/>
              </w:rPr>
              <w:t>Annual Learning Reviews and 2014-15 OI Accountability Report.</w:t>
            </w:r>
            <w:r w:rsidRPr="00990EDD">
              <w:rPr>
                <w:rFonts w:ascii="Arial" w:hAnsi="Arial" w:cs="Arial"/>
                <w:color w:val="181818"/>
                <w:w w:val="105"/>
              </w:rPr>
              <w:tab/>
            </w:r>
          </w:p>
        </w:tc>
        <w:tc>
          <w:tcPr>
            <w:tcW w:w="2693" w:type="dxa"/>
            <w:shd w:val="clear" w:color="auto" w:fill="FFFFFF" w:themeFill="background1"/>
          </w:tcPr>
          <w:p w:rsidR="009F7C77" w:rsidRPr="00990EDD" w:rsidRDefault="009F7C77" w:rsidP="006B0B1D">
            <w:pPr>
              <w:tabs>
                <w:tab w:val="left" w:pos="1360"/>
              </w:tabs>
              <w:jc w:val="both"/>
              <w:rPr>
                <w:rFonts w:ascii="Arial" w:hAnsi="Arial" w:cs="Arial"/>
                <w:color w:val="181818"/>
                <w:w w:val="105"/>
              </w:rPr>
            </w:pPr>
            <w:r w:rsidRPr="00990EDD">
              <w:rPr>
                <w:rFonts w:ascii="Arial" w:hAnsi="Arial" w:cs="Arial"/>
                <w:color w:val="181818"/>
                <w:w w:val="105"/>
              </w:rPr>
              <w:t>July 2017</w:t>
            </w:r>
          </w:p>
        </w:tc>
      </w:tr>
      <w:tr w:rsidR="009F7C77" w:rsidRPr="003A5732" w:rsidTr="009F7C77">
        <w:tc>
          <w:tcPr>
            <w:tcW w:w="993" w:type="dxa"/>
            <w:shd w:val="clear" w:color="auto" w:fill="FFFFFF" w:themeFill="background1"/>
          </w:tcPr>
          <w:p w:rsidR="009F7C77" w:rsidRPr="006B0B1D" w:rsidRDefault="009F7C77" w:rsidP="006B0B1D">
            <w:pPr>
              <w:pStyle w:val="ListParagraph"/>
              <w:tabs>
                <w:tab w:val="left" w:pos="1360"/>
              </w:tabs>
              <w:ind w:hanging="403"/>
              <w:jc w:val="both"/>
              <w:rPr>
                <w:rFonts w:ascii="Arial" w:hAnsi="Arial" w:cs="Arial"/>
                <w:color w:val="181818"/>
                <w:w w:val="105"/>
              </w:rPr>
            </w:pPr>
            <w:r>
              <w:rPr>
                <w:rFonts w:ascii="Arial" w:hAnsi="Arial" w:cs="Arial"/>
                <w:color w:val="181818"/>
                <w:w w:val="105"/>
              </w:rPr>
              <w:t>2.</w:t>
            </w:r>
          </w:p>
        </w:tc>
        <w:tc>
          <w:tcPr>
            <w:tcW w:w="6946" w:type="dxa"/>
            <w:shd w:val="clear" w:color="auto" w:fill="FFFFFF" w:themeFill="background1"/>
          </w:tcPr>
          <w:p w:rsidR="009F7C77" w:rsidRPr="00261A40" w:rsidRDefault="009F7C77" w:rsidP="00D115B4">
            <w:pPr>
              <w:tabs>
                <w:tab w:val="left" w:pos="1360"/>
              </w:tabs>
              <w:jc w:val="both"/>
              <w:rPr>
                <w:rFonts w:ascii="Arial" w:hAnsi="Arial" w:cs="Arial"/>
                <w:color w:val="181818"/>
                <w:w w:val="105"/>
              </w:rPr>
            </w:pPr>
            <w:r w:rsidRPr="00261A40">
              <w:rPr>
                <w:rFonts w:ascii="Arial" w:hAnsi="Arial" w:cs="Arial"/>
                <w:color w:val="181818"/>
                <w:w w:val="105"/>
              </w:rPr>
              <w:t xml:space="preserve">Review Complaints Policy and annexes and recommend any changes to Council (unless we are informed that the cross-federation Policy will be developed during the year). </w:t>
            </w:r>
          </w:p>
        </w:tc>
        <w:tc>
          <w:tcPr>
            <w:tcW w:w="2693" w:type="dxa"/>
            <w:shd w:val="clear" w:color="auto" w:fill="FFFFFF" w:themeFill="background1"/>
          </w:tcPr>
          <w:p w:rsidR="009F7C77" w:rsidRPr="00261A40" w:rsidRDefault="009F7C77" w:rsidP="006B0B1D">
            <w:pPr>
              <w:tabs>
                <w:tab w:val="left" w:pos="1360"/>
              </w:tabs>
              <w:jc w:val="both"/>
              <w:rPr>
                <w:rFonts w:ascii="Arial" w:hAnsi="Arial" w:cs="Arial"/>
                <w:color w:val="181818"/>
                <w:w w:val="105"/>
              </w:rPr>
            </w:pPr>
            <w:r w:rsidRPr="00261A40">
              <w:rPr>
                <w:rFonts w:ascii="Arial" w:hAnsi="Arial" w:cs="Arial"/>
                <w:color w:val="181818"/>
                <w:w w:val="105"/>
              </w:rPr>
              <w:t>December 2017</w:t>
            </w:r>
          </w:p>
        </w:tc>
      </w:tr>
      <w:tr w:rsidR="009F7C77" w:rsidRPr="003A5732" w:rsidTr="0025690A">
        <w:tc>
          <w:tcPr>
            <w:tcW w:w="10632" w:type="dxa"/>
            <w:gridSpan w:val="3"/>
            <w:shd w:val="clear" w:color="auto" w:fill="FFFFFF" w:themeFill="background1"/>
          </w:tcPr>
          <w:p w:rsidR="009F7C77" w:rsidRPr="009F7C77" w:rsidRDefault="009F7C77" w:rsidP="006B0B1D">
            <w:pPr>
              <w:tabs>
                <w:tab w:val="left" w:pos="1360"/>
              </w:tabs>
              <w:jc w:val="both"/>
              <w:rPr>
                <w:rFonts w:ascii="Arial" w:hAnsi="Arial" w:cs="Arial"/>
                <w:b/>
                <w:color w:val="181818"/>
                <w:w w:val="105"/>
              </w:rPr>
            </w:pPr>
            <w:r w:rsidRPr="009F7C77">
              <w:rPr>
                <w:rFonts w:ascii="Arial" w:hAnsi="Arial" w:cs="Arial"/>
                <w:b/>
              </w:rPr>
              <w:t>Programme</w:t>
            </w:r>
          </w:p>
        </w:tc>
      </w:tr>
      <w:tr w:rsidR="009F7C77" w:rsidRPr="003A5732" w:rsidTr="009F7C77">
        <w:tc>
          <w:tcPr>
            <w:tcW w:w="993" w:type="dxa"/>
            <w:shd w:val="clear" w:color="auto" w:fill="FFFFFF" w:themeFill="background1"/>
          </w:tcPr>
          <w:p w:rsidR="009F7C77" w:rsidRDefault="009F7C77" w:rsidP="009D6F67">
            <w:pPr>
              <w:pStyle w:val="ListParagraph"/>
              <w:tabs>
                <w:tab w:val="left" w:pos="1360"/>
              </w:tabs>
              <w:ind w:hanging="403"/>
              <w:jc w:val="both"/>
              <w:rPr>
                <w:rFonts w:ascii="Arial" w:hAnsi="Arial" w:cs="Arial"/>
                <w:color w:val="181818"/>
                <w:w w:val="105"/>
              </w:rPr>
            </w:pPr>
            <w:r>
              <w:rPr>
                <w:rFonts w:ascii="Arial" w:hAnsi="Arial" w:cs="Arial"/>
                <w:color w:val="181818"/>
                <w:w w:val="105"/>
              </w:rPr>
              <w:t>3.</w:t>
            </w:r>
          </w:p>
        </w:tc>
        <w:tc>
          <w:tcPr>
            <w:tcW w:w="6946" w:type="dxa"/>
            <w:shd w:val="clear" w:color="auto" w:fill="FFFFFF" w:themeFill="background1"/>
          </w:tcPr>
          <w:p w:rsidR="009F7C77" w:rsidRPr="009D6F67" w:rsidRDefault="009F7C77" w:rsidP="00060D10">
            <w:pPr>
              <w:tabs>
                <w:tab w:val="left" w:pos="1360"/>
              </w:tabs>
              <w:jc w:val="both"/>
              <w:rPr>
                <w:rFonts w:ascii="Arial" w:hAnsi="Arial" w:cs="Arial"/>
              </w:rPr>
            </w:pPr>
            <w:r>
              <w:rPr>
                <w:rFonts w:ascii="Arial" w:hAnsi="Arial" w:cs="Arial"/>
              </w:rPr>
              <w:t xml:space="preserve">International </w:t>
            </w:r>
            <w:proofErr w:type="spellStart"/>
            <w:r>
              <w:rPr>
                <w:rFonts w:ascii="Arial" w:hAnsi="Arial" w:cs="Arial"/>
              </w:rPr>
              <w:t>Progamme</w:t>
            </w:r>
            <w:proofErr w:type="spellEnd"/>
            <w:r>
              <w:rPr>
                <w:rFonts w:ascii="Arial" w:hAnsi="Arial" w:cs="Arial"/>
              </w:rPr>
              <w:t xml:space="preserve"> Team, at conclusion of current change process, to identify staff member to be responsible for complaints oversight in future.</w:t>
            </w:r>
          </w:p>
        </w:tc>
        <w:tc>
          <w:tcPr>
            <w:tcW w:w="2693" w:type="dxa"/>
            <w:shd w:val="clear" w:color="auto" w:fill="FFFFFF" w:themeFill="background1"/>
          </w:tcPr>
          <w:p w:rsidR="009F7C77" w:rsidRPr="009D6F67" w:rsidRDefault="009F7C77" w:rsidP="006B0B1D">
            <w:pPr>
              <w:tabs>
                <w:tab w:val="left" w:pos="1360"/>
              </w:tabs>
              <w:jc w:val="both"/>
              <w:rPr>
                <w:rFonts w:ascii="Arial" w:hAnsi="Arial" w:cs="Arial"/>
                <w:color w:val="181818"/>
                <w:w w:val="105"/>
              </w:rPr>
            </w:pPr>
            <w:r>
              <w:rPr>
                <w:rFonts w:ascii="Arial" w:hAnsi="Arial" w:cs="Arial"/>
                <w:color w:val="181818"/>
                <w:w w:val="105"/>
              </w:rPr>
              <w:t>October 2017</w:t>
            </w:r>
          </w:p>
        </w:tc>
      </w:tr>
      <w:tr w:rsidR="009F7C77" w:rsidRPr="003A5732" w:rsidTr="009F7C77">
        <w:tc>
          <w:tcPr>
            <w:tcW w:w="993" w:type="dxa"/>
            <w:shd w:val="clear" w:color="auto" w:fill="FFFFFF" w:themeFill="background1"/>
          </w:tcPr>
          <w:p w:rsidR="009F7C77" w:rsidRPr="009D6F67" w:rsidRDefault="009F7C77" w:rsidP="00060D10">
            <w:pPr>
              <w:pStyle w:val="ListParagraph"/>
              <w:tabs>
                <w:tab w:val="left" w:pos="1360"/>
              </w:tabs>
              <w:ind w:hanging="403"/>
              <w:jc w:val="both"/>
              <w:rPr>
                <w:rFonts w:ascii="Arial" w:hAnsi="Arial" w:cs="Arial"/>
                <w:color w:val="181818"/>
                <w:w w:val="105"/>
              </w:rPr>
            </w:pPr>
            <w:r>
              <w:rPr>
                <w:rFonts w:ascii="Arial" w:hAnsi="Arial" w:cs="Arial"/>
                <w:color w:val="181818"/>
                <w:w w:val="105"/>
              </w:rPr>
              <w:t>4</w:t>
            </w:r>
            <w:r w:rsidRPr="009D6F67">
              <w:rPr>
                <w:rFonts w:ascii="Arial" w:hAnsi="Arial" w:cs="Arial"/>
                <w:color w:val="181818"/>
                <w:w w:val="105"/>
              </w:rPr>
              <w:t>.</w:t>
            </w:r>
          </w:p>
        </w:tc>
        <w:tc>
          <w:tcPr>
            <w:tcW w:w="6946" w:type="dxa"/>
            <w:shd w:val="clear" w:color="auto" w:fill="FFFFFF" w:themeFill="background1"/>
          </w:tcPr>
          <w:p w:rsidR="009F7C77" w:rsidRPr="009D6F67" w:rsidRDefault="009F7C77" w:rsidP="00F21DA2">
            <w:pPr>
              <w:tabs>
                <w:tab w:val="left" w:pos="1360"/>
              </w:tabs>
              <w:jc w:val="both"/>
              <w:rPr>
                <w:rFonts w:ascii="Arial" w:hAnsi="Arial" w:cs="Arial"/>
                <w:b/>
                <w:color w:val="181818"/>
                <w:w w:val="105"/>
              </w:rPr>
            </w:pPr>
            <w:r w:rsidRPr="009D6F67">
              <w:rPr>
                <w:rFonts w:ascii="Arial" w:hAnsi="Arial" w:cs="Arial"/>
              </w:rPr>
              <w:t>The Complaints Group to consider later this year the complaints information in the OOR</w:t>
            </w:r>
            <w:r>
              <w:rPr>
                <w:rFonts w:ascii="Arial" w:hAnsi="Arial" w:cs="Arial"/>
              </w:rPr>
              <w:t xml:space="preserve"> and other available information (</w:t>
            </w:r>
            <w:proofErr w:type="spellStart"/>
            <w:r>
              <w:rPr>
                <w:rFonts w:ascii="Arial" w:hAnsi="Arial" w:cs="Arial"/>
              </w:rPr>
              <w:t>eg</w:t>
            </w:r>
            <w:proofErr w:type="spellEnd"/>
            <w:r>
              <w:rPr>
                <w:rFonts w:ascii="Arial" w:hAnsi="Arial" w:cs="Arial"/>
              </w:rPr>
              <w:t xml:space="preserve"> complaints about OGB’s fulfilment of its Executive Affiliate or Partner Affiliate Role or from donors)</w:t>
            </w:r>
            <w:r w:rsidRPr="009D6F67">
              <w:rPr>
                <w:rFonts w:ascii="Arial" w:hAnsi="Arial" w:cs="Arial"/>
              </w:rPr>
              <w:t xml:space="preserve"> and to recommend next steps to Leadership Team and/or Council.</w:t>
            </w:r>
          </w:p>
        </w:tc>
        <w:tc>
          <w:tcPr>
            <w:tcW w:w="2693" w:type="dxa"/>
            <w:shd w:val="clear" w:color="auto" w:fill="FFFFFF" w:themeFill="background1"/>
          </w:tcPr>
          <w:p w:rsidR="009F7C77" w:rsidRPr="009D6F67" w:rsidRDefault="009F7C77" w:rsidP="006B0B1D">
            <w:pPr>
              <w:tabs>
                <w:tab w:val="left" w:pos="1360"/>
              </w:tabs>
              <w:jc w:val="both"/>
              <w:rPr>
                <w:rFonts w:ascii="Arial" w:hAnsi="Arial" w:cs="Arial"/>
                <w:color w:val="181818"/>
                <w:w w:val="105"/>
              </w:rPr>
            </w:pPr>
            <w:r w:rsidRPr="009D6F67">
              <w:rPr>
                <w:rFonts w:ascii="Arial" w:hAnsi="Arial" w:cs="Arial"/>
                <w:color w:val="181818"/>
                <w:w w:val="105"/>
              </w:rPr>
              <w:t>November 2017</w:t>
            </w:r>
          </w:p>
        </w:tc>
      </w:tr>
      <w:tr w:rsidR="009F7C77" w:rsidRPr="00261A40" w:rsidTr="00F66F2B">
        <w:tc>
          <w:tcPr>
            <w:tcW w:w="10632" w:type="dxa"/>
            <w:gridSpan w:val="3"/>
            <w:shd w:val="clear" w:color="auto" w:fill="FFFFFF" w:themeFill="background1"/>
          </w:tcPr>
          <w:p w:rsidR="009F7C77" w:rsidRPr="009F7C77" w:rsidRDefault="009F7C77" w:rsidP="00D86065">
            <w:pPr>
              <w:tabs>
                <w:tab w:val="left" w:pos="1360"/>
              </w:tabs>
              <w:rPr>
                <w:rFonts w:ascii="Arial" w:hAnsi="Arial" w:cs="Arial"/>
                <w:b/>
                <w:color w:val="181818"/>
                <w:w w:val="105"/>
              </w:rPr>
            </w:pPr>
            <w:r w:rsidRPr="009F7C77">
              <w:rPr>
                <w:rFonts w:ascii="Arial" w:hAnsi="Arial" w:cs="Arial"/>
                <w:b/>
                <w:color w:val="181818"/>
                <w:w w:val="105"/>
              </w:rPr>
              <w:t>Trading</w:t>
            </w:r>
          </w:p>
        </w:tc>
      </w:tr>
      <w:tr w:rsidR="009F7C77" w:rsidRPr="00261A40" w:rsidTr="009F7C77">
        <w:tc>
          <w:tcPr>
            <w:tcW w:w="993" w:type="dxa"/>
            <w:shd w:val="clear" w:color="auto" w:fill="FFFFFF" w:themeFill="background1"/>
          </w:tcPr>
          <w:p w:rsidR="009F7C77" w:rsidRPr="00261A40" w:rsidRDefault="009F7C77" w:rsidP="00060D10">
            <w:pPr>
              <w:tabs>
                <w:tab w:val="left" w:pos="317"/>
              </w:tabs>
              <w:ind w:firstLine="317"/>
              <w:jc w:val="both"/>
              <w:rPr>
                <w:rFonts w:ascii="Arial" w:hAnsi="Arial" w:cs="Arial"/>
                <w:color w:val="181818"/>
                <w:w w:val="105"/>
              </w:rPr>
            </w:pPr>
            <w:r>
              <w:rPr>
                <w:rFonts w:ascii="Arial" w:hAnsi="Arial" w:cs="Arial"/>
                <w:color w:val="181818"/>
                <w:w w:val="105"/>
              </w:rPr>
              <w:t>5.</w:t>
            </w:r>
          </w:p>
        </w:tc>
        <w:tc>
          <w:tcPr>
            <w:tcW w:w="6946" w:type="dxa"/>
            <w:shd w:val="clear" w:color="auto" w:fill="FFFFFF" w:themeFill="background1"/>
          </w:tcPr>
          <w:p w:rsidR="009F7C77" w:rsidRPr="00261A40" w:rsidRDefault="009F7C77" w:rsidP="006B0B1D">
            <w:pPr>
              <w:tabs>
                <w:tab w:val="left" w:pos="1360"/>
              </w:tabs>
              <w:jc w:val="both"/>
              <w:rPr>
                <w:rFonts w:ascii="Arial" w:hAnsi="Arial" w:cs="Arial"/>
                <w:color w:val="181818"/>
                <w:w w:val="105"/>
              </w:rPr>
            </w:pPr>
            <w:r w:rsidRPr="00261A40">
              <w:rPr>
                <w:rFonts w:ascii="Arial" w:hAnsi="Arial" w:cs="Arial"/>
                <w:color w:val="181818"/>
                <w:w w:val="105"/>
              </w:rPr>
              <w:t xml:space="preserve">Review complaint resolution timescales in </w:t>
            </w:r>
            <w:proofErr w:type="spellStart"/>
            <w:r w:rsidRPr="00261A40">
              <w:rPr>
                <w:rFonts w:ascii="Arial" w:hAnsi="Arial" w:cs="Arial"/>
                <w:color w:val="181818"/>
                <w:w w:val="105"/>
              </w:rPr>
              <w:t>Trading’s</w:t>
            </w:r>
            <w:proofErr w:type="spellEnd"/>
            <w:r w:rsidRPr="00261A40">
              <w:rPr>
                <w:rFonts w:ascii="Arial" w:hAnsi="Arial" w:cs="Arial"/>
                <w:color w:val="181818"/>
                <w:w w:val="105"/>
              </w:rPr>
              <w:t xml:space="preserve"> complaints handling procedures.</w:t>
            </w:r>
          </w:p>
        </w:tc>
        <w:tc>
          <w:tcPr>
            <w:tcW w:w="2693" w:type="dxa"/>
            <w:shd w:val="clear" w:color="auto" w:fill="FFFFFF" w:themeFill="background1"/>
          </w:tcPr>
          <w:p w:rsidR="009F7C77" w:rsidRPr="00261A40" w:rsidRDefault="009F7C77" w:rsidP="00D86065">
            <w:pPr>
              <w:tabs>
                <w:tab w:val="left" w:pos="1360"/>
              </w:tabs>
              <w:rPr>
                <w:rFonts w:ascii="Arial" w:hAnsi="Arial" w:cs="Arial"/>
                <w:color w:val="181818"/>
                <w:w w:val="105"/>
              </w:rPr>
            </w:pPr>
            <w:r w:rsidRPr="00261A40">
              <w:rPr>
                <w:rFonts w:ascii="Arial" w:hAnsi="Arial" w:cs="Arial"/>
                <w:color w:val="181818"/>
                <w:w w:val="105"/>
              </w:rPr>
              <w:t>September 2017</w:t>
            </w:r>
          </w:p>
        </w:tc>
      </w:tr>
      <w:tr w:rsidR="009F7C77" w:rsidRPr="00261A40" w:rsidTr="009F7C77">
        <w:tc>
          <w:tcPr>
            <w:tcW w:w="993" w:type="dxa"/>
            <w:shd w:val="clear" w:color="auto" w:fill="FFFFFF" w:themeFill="background1"/>
          </w:tcPr>
          <w:p w:rsidR="009F7C77" w:rsidRPr="00261A40" w:rsidRDefault="009F7C77" w:rsidP="00060D10">
            <w:pPr>
              <w:ind w:firstLine="317"/>
              <w:jc w:val="both"/>
              <w:rPr>
                <w:rFonts w:ascii="Arial" w:hAnsi="Arial" w:cs="Arial"/>
                <w:color w:val="181818"/>
                <w:w w:val="105"/>
              </w:rPr>
            </w:pPr>
            <w:r>
              <w:rPr>
                <w:rFonts w:ascii="Arial" w:hAnsi="Arial" w:cs="Arial"/>
                <w:color w:val="181818"/>
                <w:w w:val="105"/>
              </w:rPr>
              <w:t>6.</w:t>
            </w:r>
          </w:p>
        </w:tc>
        <w:tc>
          <w:tcPr>
            <w:tcW w:w="6946" w:type="dxa"/>
            <w:shd w:val="clear" w:color="auto" w:fill="FFFFFF" w:themeFill="background1"/>
          </w:tcPr>
          <w:p w:rsidR="009F7C77" w:rsidRPr="00261A40" w:rsidRDefault="009F7C77" w:rsidP="008E7AC1">
            <w:pPr>
              <w:jc w:val="both"/>
              <w:rPr>
                <w:rFonts w:ascii="Arial" w:hAnsi="Arial" w:cs="Arial"/>
                <w:color w:val="181818"/>
                <w:w w:val="105"/>
              </w:rPr>
            </w:pPr>
            <w:r w:rsidRPr="00261A40">
              <w:rPr>
                <w:rFonts w:ascii="Arial" w:hAnsi="Arial" w:cs="Arial"/>
              </w:rPr>
              <w:t xml:space="preserve">Organise and deliver retail skills training (including customer service) for shop </w:t>
            </w:r>
            <w:r>
              <w:rPr>
                <w:rFonts w:ascii="Arial" w:hAnsi="Arial" w:cs="Arial"/>
              </w:rPr>
              <w:t>team</w:t>
            </w:r>
            <w:r w:rsidRPr="00261A40">
              <w:rPr>
                <w:rFonts w:ascii="Arial" w:hAnsi="Arial" w:cs="Arial"/>
              </w:rPr>
              <w:t xml:space="preserve">s.   </w:t>
            </w:r>
          </w:p>
        </w:tc>
        <w:tc>
          <w:tcPr>
            <w:tcW w:w="2693" w:type="dxa"/>
            <w:shd w:val="clear" w:color="auto" w:fill="FFFFFF" w:themeFill="background1"/>
          </w:tcPr>
          <w:p w:rsidR="009F7C77" w:rsidRPr="00261A40" w:rsidRDefault="009F7C77" w:rsidP="00D86065">
            <w:pPr>
              <w:tabs>
                <w:tab w:val="left" w:pos="1360"/>
              </w:tabs>
              <w:rPr>
                <w:rFonts w:ascii="Arial" w:hAnsi="Arial" w:cs="Arial"/>
                <w:color w:val="181818"/>
                <w:w w:val="105"/>
              </w:rPr>
            </w:pPr>
            <w:r w:rsidRPr="00261A40">
              <w:rPr>
                <w:rFonts w:ascii="Arial" w:hAnsi="Arial" w:cs="Arial"/>
                <w:color w:val="181818"/>
                <w:w w:val="105"/>
              </w:rPr>
              <w:t>End of F/Y 2017-18</w:t>
            </w:r>
          </w:p>
        </w:tc>
      </w:tr>
      <w:tr w:rsidR="009F7C77" w:rsidRPr="00261A40" w:rsidTr="009F7C77">
        <w:tc>
          <w:tcPr>
            <w:tcW w:w="993" w:type="dxa"/>
            <w:shd w:val="clear" w:color="auto" w:fill="FFFFFF" w:themeFill="background1"/>
          </w:tcPr>
          <w:p w:rsidR="009F7C77" w:rsidRPr="00261A40" w:rsidRDefault="009F7C77" w:rsidP="00060D10">
            <w:pPr>
              <w:ind w:firstLine="317"/>
              <w:jc w:val="both"/>
              <w:rPr>
                <w:rFonts w:ascii="Arial" w:hAnsi="Arial" w:cs="Arial"/>
                <w:color w:val="181818"/>
                <w:w w:val="105"/>
              </w:rPr>
            </w:pPr>
            <w:r>
              <w:rPr>
                <w:rFonts w:ascii="Arial" w:hAnsi="Arial" w:cs="Arial"/>
                <w:color w:val="181818"/>
                <w:w w:val="105"/>
              </w:rPr>
              <w:t>7.</w:t>
            </w:r>
          </w:p>
        </w:tc>
        <w:tc>
          <w:tcPr>
            <w:tcW w:w="6946" w:type="dxa"/>
            <w:shd w:val="clear" w:color="auto" w:fill="FFFFFF" w:themeFill="background1"/>
          </w:tcPr>
          <w:p w:rsidR="009F7C77" w:rsidRPr="00261A40" w:rsidRDefault="009F7C77" w:rsidP="003233CE">
            <w:pPr>
              <w:jc w:val="both"/>
              <w:rPr>
                <w:rFonts w:ascii="Arial" w:hAnsi="Arial" w:cs="Arial"/>
                <w:color w:val="181818"/>
                <w:w w:val="105"/>
              </w:rPr>
            </w:pPr>
            <w:r w:rsidRPr="00261A40">
              <w:rPr>
                <w:rFonts w:ascii="Arial" w:hAnsi="Arial" w:cs="Arial"/>
              </w:rPr>
              <w:t>Explore whether Shop Support can manage (rather than facilitate) any specific categories of complaint, such as those relating to matters of policy, to where possible improve speed of resolution and implement any recommended changes</w:t>
            </w:r>
            <w:r w:rsidRPr="00261A40">
              <w:rPr>
                <w:rFonts w:ascii="Arial" w:hAnsi="Arial" w:cs="Arial"/>
                <w:color w:val="181818"/>
                <w:w w:val="105"/>
              </w:rPr>
              <w:t>.</w:t>
            </w:r>
          </w:p>
        </w:tc>
        <w:tc>
          <w:tcPr>
            <w:tcW w:w="2693" w:type="dxa"/>
            <w:shd w:val="clear" w:color="auto" w:fill="FFFFFF" w:themeFill="background1"/>
          </w:tcPr>
          <w:p w:rsidR="009F7C77" w:rsidRPr="00261A40" w:rsidRDefault="009F7C77" w:rsidP="00D86065">
            <w:pPr>
              <w:tabs>
                <w:tab w:val="left" w:pos="1360"/>
              </w:tabs>
              <w:rPr>
                <w:rFonts w:ascii="Arial" w:hAnsi="Arial" w:cs="Arial"/>
                <w:color w:val="181818"/>
                <w:w w:val="105"/>
              </w:rPr>
            </w:pPr>
            <w:r w:rsidRPr="00261A40">
              <w:rPr>
                <w:rFonts w:ascii="Arial" w:hAnsi="Arial" w:cs="Arial"/>
                <w:color w:val="181818"/>
                <w:w w:val="105"/>
              </w:rPr>
              <w:t>August 2017</w:t>
            </w:r>
          </w:p>
        </w:tc>
      </w:tr>
      <w:tr w:rsidR="009F7C77" w:rsidRPr="00261A40" w:rsidTr="009F7C77">
        <w:tc>
          <w:tcPr>
            <w:tcW w:w="993" w:type="dxa"/>
            <w:shd w:val="clear" w:color="auto" w:fill="FFFFFF" w:themeFill="background1"/>
          </w:tcPr>
          <w:p w:rsidR="009F7C77" w:rsidRPr="00261A40" w:rsidRDefault="009F7C77" w:rsidP="00060D10">
            <w:pPr>
              <w:ind w:firstLine="317"/>
              <w:jc w:val="both"/>
              <w:rPr>
                <w:rFonts w:ascii="Arial" w:hAnsi="Arial" w:cs="Arial"/>
                <w:color w:val="181818"/>
                <w:w w:val="105"/>
              </w:rPr>
            </w:pPr>
            <w:r>
              <w:rPr>
                <w:rFonts w:ascii="Arial" w:hAnsi="Arial" w:cs="Arial"/>
                <w:color w:val="181818"/>
                <w:w w:val="105"/>
              </w:rPr>
              <w:t>8.</w:t>
            </w:r>
          </w:p>
        </w:tc>
        <w:tc>
          <w:tcPr>
            <w:tcW w:w="6946" w:type="dxa"/>
            <w:shd w:val="clear" w:color="auto" w:fill="FFFFFF" w:themeFill="background1"/>
          </w:tcPr>
          <w:p w:rsidR="009F7C77" w:rsidRPr="00261A40" w:rsidRDefault="009F7C77" w:rsidP="00261A40">
            <w:pPr>
              <w:jc w:val="both"/>
              <w:rPr>
                <w:rFonts w:ascii="Arial" w:hAnsi="Arial" w:cs="Arial"/>
              </w:rPr>
            </w:pPr>
            <w:r w:rsidRPr="00261A40">
              <w:rPr>
                <w:rFonts w:ascii="Arial" w:hAnsi="Arial" w:cs="Arial"/>
              </w:rPr>
              <w:t xml:space="preserve">We will also explore whether any benchmarking data is available from the Charities Retail Association with a view to comparing our performance with peer charities and, where appropriate, entering into a dialogue with them.  This benchmarking, if feasible will then comprise part of </w:t>
            </w:r>
            <w:proofErr w:type="spellStart"/>
            <w:r w:rsidRPr="00261A40">
              <w:rPr>
                <w:rFonts w:ascii="Arial" w:hAnsi="Arial" w:cs="Arial"/>
              </w:rPr>
              <w:t>Trading’s</w:t>
            </w:r>
            <w:proofErr w:type="spellEnd"/>
            <w:r w:rsidRPr="00261A40">
              <w:rPr>
                <w:rFonts w:ascii="Arial" w:hAnsi="Arial" w:cs="Arial"/>
              </w:rPr>
              <w:t xml:space="preserve"> annual review summary.  </w:t>
            </w:r>
          </w:p>
          <w:p w:rsidR="009F7C77" w:rsidRPr="00261A40" w:rsidRDefault="009F7C77" w:rsidP="003233CE">
            <w:pPr>
              <w:jc w:val="both"/>
              <w:rPr>
                <w:rFonts w:ascii="Arial" w:hAnsi="Arial" w:cs="Arial"/>
              </w:rPr>
            </w:pPr>
          </w:p>
        </w:tc>
        <w:tc>
          <w:tcPr>
            <w:tcW w:w="2693" w:type="dxa"/>
            <w:shd w:val="clear" w:color="auto" w:fill="FFFFFF" w:themeFill="background1"/>
          </w:tcPr>
          <w:p w:rsidR="009F7C77" w:rsidRPr="00261A40" w:rsidRDefault="009F7C77" w:rsidP="00D86065">
            <w:pPr>
              <w:tabs>
                <w:tab w:val="left" w:pos="1360"/>
              </w:tabs>
              <w:rPr>
                <w:rFonts w:ascii="Arial" w:hAnsi="Arial" w:cs="Arial"/>
                <w:color w:val="181818"/>
                <w:w w:val="105"/>
              </w:rPr>
            </w:pPr>
            <w:r>
              <w:rPr>
                <w:rFonts w:ascii="Arial" w:hAnsi="Arial" w:cs="Arial"/>
                <w:color w:val="181818"/>
                <w:w w:val="105"/>
              </w:rPr>
              <w:t>March 2018</w:t>
            </w:r>
          </w:p>
        </w:tc>
      </w:tr>
      <w:tr w:rsidR="009F7C77" w:rsidRPr="00032C39" w:rsidTr="00CC0834">
        <w:tc>
          <w:tcPr>
            <w:tcW w:w="10632" w:type="dxa"/>
            <w:gridSpan w:val="3"/>
            <w:shd w:val="clear" w:color="auto" w:fill="FFFFFF" w:themeFill="background1"/>
          </w:tcPr>
          <w:p w:rsidR="009F7C77" w:rsidRPr="009F7C77" w:rsidRDefault="009F7C77" w:rsidP="006B0B1D">
            <w:pPr>
              <w:tabs>
                <w:tab w:val="left" w:pos="1360"/>
              </w:tabs>
              <w:jc w:val="both"/>
              <w:rPr>
                <w:rFonts w:ascii="Arial" w:hAnsi="Arial" w:cs="Arial"/>
                <w:b/>
                <w:color w:val="181818"/>
                <w:w w:val="105"/>
              </w:rPr>
            </w:pPr>
            <w:r w:rsidRPr="009F7C77">
              <w:rPr>
                <w:rFonts w:ascii="Arial" w:hAnsi="Arial" w:cs="Arial"/>
                <w:b/>
              </w:rPr>
              <w:t>Supporter Relations</w:t>
            </w:r>
          </w:p>
        </w:tc>
      </w:tr>
      <w:tr w:rsidR="009F7C77" w:rsidRPr="00032C39" w:rsidTr="009F7C77">
        <w:tc>
          <w:tcPr>
            <w:tcW w:w="993" w:type="dxa"/>
            <w:shd w:val="clear" w:color="auto" w:fill="FFFFFF" w:themeFill="background1"/>
          </w:tcPr>
          <w:p w:rsidR="009F7C77" w:rsidRDefault="009F7C77" w:rsidP="00060D10">
            <w:pPr>
              <w:tabs>
                <w:tab w:val="left" w:pos="1360"/>
              </w:tabs>
              <w:ind w:firstLine="317"/>
              <w:jc w:val="both"/>
              <w:rPr>
                <w:rFonts w:ascii="Arial" w:hAnsi="Arial" w:cs="Arial"/>
                <w:color w:val="181818"/>
                <w:w w:val="105"/>
              </w:rPr>
            </w:pPr>
            <w:r>
              <w:rPr>
                <w:rFonts w:ascii="Arial" w:hAnsi="Arial" w:cs="Arial"/>
                <w:color w:val="181818"/>
                <w:w w:val="105"/>
              </w:rPr>
              <w:t>9.</w:t>
            </w:r>
          </w:p>
          <w:p w:rsidR="009F7C77" w:rsidRPr="00032C39" w:rsidRDefault="009F7C77" w:rsidP="00060D10">
            <w:pPr>
              <w:tabs>
                <w:tab w:val="left" w:pos="1360"/>
              </w:tabs>
              <w:ind w:firstLine="317"/>
              <w:jc w:val="both"/>
              <w:rPr>
                <w:rFonts w:ascii="Arial" w:hAnsi="Arial" w:cs="Arial"/>
                <w:color w:val="181818"/>
                <w:w w:val="105"/>
              </w:rPr>
            </w:pPr>
          </w:p>
        </w:tc>
        <w:tc>
          <w:tcPr>
            <w:tcW w:w="6946" w:type="dxa"/>
            <w:shd w:val="clear" w:color="auto" w:fill="FFFFFF" w:themeFill="background1"/>
          </w:tcPr>
          <w:p w:rsidR="009F7C77" w:rsidRPr="00032C39" w:rsidRDefault="009F7C77" w:rsidP="00032C39">
            <w:pPr>
              <w:jc w:val="both"/>
              <w:rPr>
                <w:rFonts w:ascii="Arial" w:hAnsi="Arial" w:cs="Arial"/>
              </w:rPr>
            </w:pPr>
            <w:r w:rsidRPr="00032C39">
              <w:rPr>
                <w:rFonts w:ascii="Arial" w:hAnsi="Arial" w:cs="Arial"/>
              </w:rPr>
              <w:t xml:space="preserve">Supporter Relations to continue training for all Supporter Relations staff on Complaints and Vulnerable People processes, with training to be run at least twice a year and each staff member to attend at least once.  </w:t>
            </w:r>
          </w:p>
        </w:tc>
        <w:tc>
          <w:tcPr>
            <w:tcW w:w="2693" w:type="dxa"/>
            <w:shd w:val="clear" w:color="auto" w:fill="FFFFFF" w:themeFill="background1"/>
          </w:tcPr>
          <w:p w:rsidR="009F7C77" w:rsidRPr="00032C39" w:rsidRDefault="009F7C77" w:rsidP="006B0B1D">
            <w:pPr>
              <w:tabs>
                <w:tab w:val="left" w:pos="1360"/>
              </w:tabs>
              <w:jc w:val="both"/>
              <w:rPr>
                <w:rFonts w:ascii="Arial" w:hAnsi="Arial" w:cs="Arial"/>
                <w:color w:val="181818"/>
                <w:w w:val="105"/>
              </w:rPr>
            </w:pPr>
            <w:r>
              <w:rPr>
                <w:rFonts w:ascii="Arial" w:hAnsi="Arial" w:cs="Arial"/>
                <w:color w:val="181818"/>
                <w:w w:val="105"/>
              </w:rPr>
              <w:t>Ongoing</w:t>
            </w:r>
          </w:p>
        </w:tc>
      </w:tr>
      <w:tr w:rsidR="009F7C77" w:rsidRPr="00032C39" w:rsidTr="009F7C77">
        <w:tc>
          <w:tcPr>
            <w:tcW w:w="993" w:type="dxa"/>
            <w:shd w:val="clear" w:color="auto" w:fill="FFFFFF" w:themeFill="background1"/>
          </w:tcPr>
          <w:p w:rsidR="009F7C77" w:rsidRPr="00032C39" w:rsidRDefault="009F7C77" w:rsidP="00060D10">
            <w:pPr>
              <w:tabs>
                <w:tab w:val="left" w:pos="1360"/>
              </w:tabs>
              <w:ind w:firstLine="317"/>
              <w:jc w:val="both"/>
              <w:rPr>
                <w:rFonts w:ascii="Arial" w:hAnsi="Arial" w:cs="Arial"/>
                <w:color w:val="181818"/>
                <w:w w:val="105"/>
              </w:rPr>
            </w:pPr>
            <w:r>
              <w:rPr>
                <w:rFonts w:ascii="Arial" w:hAnsi="Arial" w:cs="Arial"/>
                <w:color w:val="181818"/>
                <w:w w:val="105"/>
              </w:rPr>
              <w:t>10.</w:t>
            </w:r>
          </w:p>
        </w:tc>
        <w:tc>
          <w:tcPr>
            <w:tcW w:w="6946" w:type="dxa"/>
            <w:shd w:val="clear" w:color="auto" w:fill="FFFFFF" w:themeFill="background1"/>
          </w:tcPr>
          <w:p w:rsidR="009F7C77" w:rsidRPr="00032C39" w:rsidRDefault="009F7C77" w:rsidP="006D394E">
            <w:pPr>
              <w:jc w:val="both"/>
              <w:rPr>
                <w:rFonts w:ascii="Arial" w:hAnsi="Arial" w:cs="Arial"/>
              </w:rPr>
            </w:pPr>
            <w:r w:rsidRPr="00032C39">
              <w:rPr>
                <w:rFonts w:ascii="Arial" w:hAnsi="Arial" w:cs="Arial"/>
              </w:rPr>
              <w:t>Use the training team and the new quality management process to check on a regular basis (at least quarterly) feedback logged and actions taken.</w:t>
            </w:r>
          </w:p>
        </w:tc>
        <w:tc>
          <w:tcPr>
            <w:tcW w:w="2693" w:type="dxa"/>
            <w:shd w:val="clear" w:color="auto" w:fill="FFFFFF" w:themeFill="background1"/>
          </w:tcPr>
          <w:p w:rsidR="009F7C77" w:rsidRPr="00032C39" w:rsidRDefault="009F7C77" w:rsidP="006B0B1D">
            <w:pPr>
              <w:tabs>
                <w:tab w:val="left" w:pos="1360"/>
              </w:tabs>
              <w:jc w:val="both"/>
              <w:rPr>
                <w:rFonts w:ascii="Arial" w:hAnsi="Arial" w:cs="Arial"/>
                <w:color w:val="181818"/>
                <w:w w:val="105"/>
              </w:rPr>
            </w:pPr>
            <w:r>
              <w:rPr>
                <w:rFonts w:ascii="Arial" w:hAnsi="Arial" w:cs="Arial"/>
                <w:color w:val="181818"/>
                <w:w w:val="105"/>
              </w:rPr>
              <w:t>Ongoing</w:t>
            </w:r>
          </w:p>
        </w:tc>
      </w:tr>
      <w:tr w:rsidR="009F7C77" w:rsidRPr="00032C39" w:rsidTr="009F7C77">
        <w:tc>
          <w:tcPr>
            <w:tcW w:w="993" w:type="dxa"/>
            <w:shd w:val="clear" w:color="auto" w:fill="FFFFFF" w:themeFill="background1"/>
          </w:tcPr>
          <w:p w:rsidR="009F7C77" w:rsidRPr="00032C39" w:rsidRDefault="009F7C77" w:rsidP="00060D10">
            <w:pPr>
              <w:tabs>
                <w:tab w:val="left" w:pos="1360"/>
              </w:tabs>
              <w:ind w:firstLine="317"/>
              <w:jc w:val="both"/>
              <w:rPr>
                <w:rFonts w:ascii="Arial" w:hAnsi="Arial" w:cs="Arial"/>
                <w:color w:val="181818"/>
                <w:w w:val="105"/>
              </w:rPr>
            </w:pPr>
            <w:r>
              <w:rPr>
                <w:rFonts w:ascii="Arial" w:hAnsi="Arial" w:cs="Arial"/>
                <w:color w:val="181818"/>
                <w:w w:val="105"/>
              </w:rPr>
              <w:t>11.</w:t>
            </w:r>
          </w:p>
        </w:tc>
        <w:tc>
          <w:tcPr>
            <w:tcW w:w="6946" w:type="dxa"/>
            <w:shd w:val="clear" w:color="auto" w:fill="FFFFFF" w:themeFill="background1"/>
          </w:tcPr>
          <w:p w:rsidR="009F7C77" w:rsidRPr="00032C39" w:rsidRDefault="009F7C77" w:rsidP="006D394E">
            <w:pPr>
              <w:jc w:val="both"/>
              <w:rPr>
                <w:rFonts w:ascii="Arial" w:hAnsi="Arial" w:cs="Arial"/>
              </w:rPr>
            </w:pPr>
            <w:r w:rsidRPr="00032C39">
              <w:rPr>
                <w:rFonts w:ascii="Arial" w:hAnsi="Arial" w:cs="Arial"/>
              </w:rPr>
              <w:t>Continue to produce monthly reports for Fundraising Leadership Team and Compliance, and feed into post fundraising campaign wash up sessions.</w:t>
            </w:r>
          </w:p>
        </w:tc>
        <w:tc>
          <w:tcPr>
            <w:tcW w:w="2693" w:type="dxa"/>
            <w:shd w:val="clear" w:color="auto" w:fill="FFFFFF" w:themeFill="background1"/>
          </w:tcPr>
          <w:p w:rsidR="009F7C77" w:rsidRPr="00032C39" w:rsidRDefault="009F7C77" w:rsidP="006B0B1D">
            <w:pPr>
              <w:tabs>
                <w:tab w:val="left" w:pos="1360"/>
              </w:tabs>
              <w:jc w:val="both"/>
              <w:rPr>
                <w:rFonts w:ascii="Arial" w:hAnsi="Arial" w:cs="Arial"/>
                <w:color w:val="181818"/>
                <w:w w:val="105"/>
              </w:rPr>
            </w:pPr>
            <w:r>
              <w:rPr>
                <w:rFonts w:ascii="Arial" w:hAnsi="Arial" w:cs="Arial"/>
                <w:color w:val="181818"/>
                <w:w w:val="105"/>
              </w:rPr>
              <w:t>Ongoing monthly</w:t>
            </w:r>
          </w:p>
        </w:tc>
      </w:tr>
      <w:tr w:rsidR="009F7C77" w:rsidRPr="00032C39" w:rsidTr="009F7C77">
        <w:tc>
          <w:tcPr>
            <w:tcW w:w="993" w:type="dxa"/>
            <w:shd w:val="clear" w:color="auto" w:fill="FFFFFF" w:themeFill="background1"/>
          </w:tcPr>
          <w:p w:rsidR="009F7C77" w:rsidRPr="00032C39" w:rsidRDefault="009F7C77" w:rsidP="00060D10">
            <w:pPr>
              <w:tabs>
                <w:tab w:val="left" w:pos="1360"/>
              </w:tabs>
              <w:ind w:firstLine="317"/>
              <w:jc w:val="both"/>
              <w:rPr>
                <w:rFonts w:ascii="Arial" w:hAnsi="Arial" w:cs="Arial"/>
                <w:color w:val="181818"/>
                <w:w w:val="105"/>
              </w:rPr>
            </w:pPr>
            <w:r>
              <w:rPr>
                <w:rFonts w:ascii="Arial" w:hAnsi="Arial" w:cs="Arial"/>
                <w:color w:val="181818"/>
                <w:w w:val="105"/>
              </w:rPr>
              <w:t>12.</w:t>
            </w:r>
          </w:p>
        </w:tc>
        <w:tc>
          <w:tcPr>
            <w:tcW w:w="6946" w:type="dxa"/>
            <w:shd w:val="clear" w:color="auto" w:fill="FFFFFF" w:themeFill="background1"/>
          </w:tcPr>
          <w:p w:rsidR="009F7C77" w:rsidRPr="00032C39" w:rsidRDefault="009F7C77" w:rsidP="00032C39">
            <w:pPr>
              <w:jc w:val="both"/>
              <w:rPr>
                <w:rFonts w:ascii="Arial" w:hAnsi="Arial" w:cs="Arial"/>
              </w:rPr>
            </w:pPr>
            <w:r w:rsidRPr="00032C39">
              <w:rPr>
                <w:rFonts w:ascii="Arial" w:hAnsi="Arial" w:cs="Arial"/>
              </w:rPr>
              <w:t>Working closely with Marketing Operations, provide our Agency Relationship Lead a monthly breakdown of Fundraising Agency complaints, so that this can be used in Supplier reviews and action plans.</w:t>
            </w:r>
          </w:p>
        </w:tc>
        <w:tc>
          <w:tcPr>
            <w:tcW w:w="2693" w:type="dxa"/>
            <w:shd w:val="clear" w:color="auto" w:fill="FFFFFF" w:themeFill="background1"/>
          </w:tcPr>
          <w:p w:rsidR="009F7C77" w:rsidRPr="00032C39" w:rsidRDefault="009F7C77" w:rsidP="006B0B1D">
            <w:pPr>
              <w:tabs>
                <w:tab w:val="left" w:pos="1360"/>
              </w:tabs>
              <w:jc w:val="both"/>
              <w:rPr>
                <w:rFonts w:ascii="Arial" w:hAnsi="Arial" w:cs="Arial"/>
                <w:color w:val="181818"/>
                <w:w w:val="105"/>
              </w:rPr>
            </w:pPr>
            <w:r>
              <w:rPr>
                <w:rFonts w:ascii="Arial" w:hAnsi="Arial" w:cs="Arial"/>
                <w:color w:val="181818"/>
                <w:w w:val="105"/>
              </w:rPr>
              <w:t>Ongoing monthly</w:t>
            </w:r>
          </w:p>
        </w:tc>
      </w:tr>
      <w:tr w:rsidR="009F7C77" w:rsidRPr="00032C39" w:rsidTr="009F7C77">
        <w:tc>
          <w:tcPr>
            <w:tcW w:w="993" w:type="dxa"/>
            <w:shd w:val="clear" w:color="auto" w:fill="FFFFFF" w:themeFill="background1"/>
          </w:tcPr>
          <w:p w:rsidR="009F7C77" w:rsidRPr="00032C39" w:rsidRDefault="009F7C77" w:rsidP="00060D10">
            <w:pPr>
              <w:tabs>
                <w:tab w:val="left" w:pos="1360"/>
              </w:tabs>
              <w:ind w:firstLine="317"/>
              <w:jc w:val="both"/>
              <w:rPr>
                <w:rFonts w:ascii="Arial" w:hAnsi="Arial" w:cs="Arial"/>
                <w:color w:val="181818"/>
                <w:w w:val="105"/>
              </w:rPr>
            </w:pPr>
            <w:r>
              <w:rPr>
                <w:rFonts w:ascii="Arial" w:hAnsi="Arial" w:cs="Arial"/>
                <w:color w:val="181818"/>
                <w:w w:val="105"/>
              </w:rPr>
              <w:t>13.</w:t>
            </w:r>
          </w:p>
        </w:tc>
        <w:tc>
          <w:tcPr>
            <w:tcW w:w="6946" w:type="dxa"/>
            <w:shd w:val="clear" w:color="auto" w:fill="FFFFFF" w:themeFill="background1"/>
          </w:tcPr>
          <w:p w:rsidR="009F7C77" w:rsidRPr="00032C39" w:rsidRDefault="009F7C77" w:rsidP="006D394E">
            <w:pPr>
              <w:jc w:val="both"/>
              <w:rPr>
                <w:rFonts w:ascii="Arial" w:hAnsi="Arial" w:cs="Arial"/>
              </w:rPr>
            </w:pPr>
            <w:r w:rsidRPr="00032C39">
              <w:rPr>
                <w:rFonts w:ascii="Arial" w:hAnsi="Arial" w:cs="Arial"/>
              </w:rPr>
              <w:t>Create a separate category in our system for Legacy and Gift Aid/Tag Your Bag to report on those areas in more detail.</w:t>
            </w:r>
          </w:p>
        </w:tc>
        <w:tc>
          <w:tcPr>
            <w:tcW w:w="2693" w:type="dxa"/>
            <w:shd w:val="clear" w:color="auto" w:fill="FFFFFF" w:themeFill="background1"/>
          </w:tcPr>
          <w:p w:rsidR="009F7C77" w:rsidRPr="00032C39" w:rsidRDefault="009F7C77" w:rsidP="006B0B1D">
            <w:pPr>
              <w:tabs>
                <w:tab w:val="left" w:pos="1360"/>
              </w:tabs>
              <w:jc w:val="both"/>
              <w:rPr>
                <w:rFonts w:ascii="Arial" w:hAnsi="Arial" w:cs="Arial"/>
                <w:color w:val="181818"/>
                <w:w w:val="105"/>
              </w:rPr>
            </w:pPr>
            <w:r>
              <w:rPr>
                <w:rFonts w:ascii="Arial" w:hAnsi="Arial" w:cs="Arial"/>
                <w:color w:val="181818"/>
                <w:w w:val="105"/>
              </w:rPr>
              <w:t>July 2017</w:t>
            </w:r>
          </w:p>
        </w:tc>
      </w:tr>
      <w:tr w:rsidR="009F7C77" w:rsidRPr="00032C39" w:rsidTr="009F7C77">
        <w:tc>
          <w:tcPr>
            <w:tcW w:w="993" w:type="dxa"/>
            <w:shd w:val="clear" w:color="auto" w:fill="FFFFFF" w:themeFill="background1"/>
          </w:tcPr>
          <w:p w:rsidR="009F7C77" w:rsidRPr="00032C39" w:rsidRDefault="009F7C77" w:rsidP="00060D10">
            <w:pPr>
              <w:tabs>
                <w:tab w:val="left" w:pos="1360"/>
              </w:tabs>
              <w:ind w:firstLine="317"/>
              <w:jc w:val="both"/>
              <w:rPr>
                <w:rFonts w:ascii="Arial" w:hAnsi="Arial" w:cs="Arial"/>
                <w:color w:val="181818"/>
                <w:w w:val="105"/>
              </w:rPr>
            </w:pPr>
            <w:r>
              <w:rPr>
                <w:rFonts w:ascii="Arial" w:hAnsi="Arial" w:cs="Arial"/>
                <w:color w:val="181818"/>
                <w:w w:val="105"/>
              </w:rPr>
              <w:t>14.</w:t>
            </w:r>
          </w:p>
        </w:tc>
        <w:tc>
          <w:tcPr>
            <w:tcW w:w="6946" w:type="dxa"/>
            <w:shd w:val="clear" w:color="auto" w:fill="FFFFFF" w:themeFill="background1"/>
          </w:tcPr>
          <w:p w:rsidR="009F7C77" w:rsidRPr="00032C39" w:rsidRDefault="009F7C77" w:rsidP="006D394E">
            <w:pPr>
              <w:jc w:val="both"/>
              <w:rPr>
                <w:rFonts w:ascii="Arial" w:hAnsi="Arial" w:cs="Arial"/>
              </w:rPr>
            </w:pPr>
            <w:r w:rsidRPr="00032C39">
              <w:rPr>
                <w:rFonts w:ascii="Arial" w:hAnsi="Arial" w:cs="Arial"/>
              </w:rPr>
              <w:t>Continue to monitor complaints upheld &amp; not upheld and report on these trends within the existing reporting.</w:t>
            </w:r>
          </w:p>
        </w:tc>
        <w:tc>
          <w:tcPr>
            <w:tcW w:w="2693" w:type="dxa"/>
            <w:shd w:val="clear" w:color="auto" w:fill="FFFFFF" w:themeFill="background1"/>
          </w:tcPr>
          <w:p w:rsidR="009F7C77" w:rsidRPr="00032C39" w:rsidRDefault="009F7C77" w:rsidP="006B0B1D">
            <w:pPr>
              <w:tabs>
                <w:tab w:val="left" w:pos="1360"/>
              </w:tabs>
              <w:jc w:val="both"/>
              <w:rPr>
                <w:rFonts w:ascii="Arial" w:hAnsi="Arial" w:cs="Arial"/>
                <w:color w:val="181818"/>
                <w:w w:val="105"/>
              </w:rPr>
            </w:pPr>
            <w:r>
              <w:rPr>
                <w:rFonts w:ascii="Arial" w:hAnsi="Arial" w:cs="Arial"/>
                <w:color w:val="181818"/>
                <w:w w:val="105"/>
              </w:rPr>
              <w:t>Quarterly</w:t>
            </w:r>
          </w:p>
        </w:tc>
      </w:tr>
      <w:tr w:rsidR="009F7C77" w:rsidRPr="00032C39" w:rsidTr="009F7C77">
        <w:tc>
          <w:tcPr>
            <w:tcW w:w="993" w:type="dxa"/>
            <w:shd w:val="clear" w:color="auto" w:fill="FFFFFF" w:themeFill="background1"/>
          </w:tcPr>
          <w:p w:rsidR="009F7C77" w:rsidRPr="00032C39" w:rsidRDefault="009F7C77" w:rsidP="00060D10">
            <w:pPr>
              <w:tabs>
                <w:tab w:val="left" w:pos="1360"/>
              </w:tabs>
              <w:ind w:firstLine="317"/>
              <w:jc w:val="both"/>
              <w:rPr>
                <w:rFonts w:ascii="Arial" w:hAnsi="Arial" w:cs="Arial"/>
                <w:color w:val="181818"/>
                <w:w w:val="105"/>
              </w:rPr>
            </w:pPr>
            <w:r>
              <w:rPr>
                <w:rFonts w:ascii="Arial" w:hAnsi="Arial" w:cs="Arial"/>
                <w:color w:val="181818"/>
                <w:w w:val="105"/>
              </w:rPr>
              <w:lastRenderedPageBreak/>
              <w:t>15.</w:t>
            </w:r>
          </w:p>
        </w:tc>
        <w:tc>
          <w:tcPr>
            <w:tcW w:w="6946" w:type="dxa"/>
            <w:shd w:val="clear" w:color="auto" w:fill="FFFFFF" w:themeFill="background1"/>
          </w:tcPr>
          <w:p w:rsidR="009F7C77" w:rsidRPr="00032C39" w:rsidRDefault="009F7C77" w:rsidP="006D394E">
            <w:pPr>
              <w:jc w:val="both"/>
              <w:rPr>
                <w:rFonts w:ascii="Arial" w:hAnsi="Arial" w:cs="Arial"/>
              </w:rPr>
            </w:pPr>
            <w:r w:rsidRPr="00032C39">
              <w:rPr>
                <w:rFonts w:ascii="Arial" w:hAnsi="Arial" w:cs="Arial"/>
              </w:rPr>
              <w:t>Review format of complaints responses to include clear link to Complaints Policy and associated appeals process.</w:t>
            </w:r>
          </w:p>
        </w:tc>
        <w:tc>
          <w:tcPr>
            <w:tcW w:w="2693" w:type="dxa"/>
            <w:shd w:val="clear" w:color="auto" w:fill="FFFFFF" w:themeFill="background1"/>
          </w:tcPr>
          <w:p w:rsidR="009F7C77" w:rsidRPr="00032C39" w:rsidRDefault="009F7C77" w:rsidP="00D86065">
            <w:pPr>
              <w:tabs>
                <w:tab w:val="left" w:pos="1360"/>
              </w:tabs>
              <w:jc w:val="both"/>
              <w:rPr>
                <w:rFonts w:ascii="Arial" w:hAnsi="Arial" w:cs="Arial"/>
                <w:color w:val="181818"/>
                <w:w w:val="105"/>
              </w:rPr>
            </w:pPr>
            <w:r>
              <w:rPr>
                <w:rFonts w:ascii="Arial" w:hAnsi="Arial" w:cs="Arial"/>
                <w:color w:val="181818"/>
                <w:w w:val="105"/>
              </w:rPr>
              <w:t>July 2017</w:t>
            </w:r>
          </w:p>
        </w:tc>
      </w:tr>
      <w:tr w:rsidR="009F7C77" w:rsidRPr="00032C39" w:rsidTr="009F7C77">
        <w:tc>
          <w:tcPr>
            <w:tcW w:w="993" w:type="dxa"/>
            <w:shd w:val="clear" w:color="auto" w:fill="FFFFFF" w:themeFill="background1"/>
          </w:tcPr>
          <w:p w:rsidR="009F7C77" w:rsidRPr="00032C39" w:rsidRDefault="009F7C77" w:rsidP="00060D10">
            <w:pPr>
              <w:tabs>
                <w:tab w:val="left" w:pos="1360"/>
              </w:tabs>
              <w:ind w:firstLine="317"/>
              <w:jc w:val="both"/>
              <w:rPr>
                <w:rFonts w:ascii="Arial" w:hAnsi="Arial" w:cs="Arial"/>
                <w:color w:val="181818"/>
                <w:w w:val="105"/>
              </w:rPr>
            </w:pPr>
            <w:r>
              <w:rPr>
                <w:rFonts w:ascii="Arial" w:hAnsi="Arial" w:cs="Arial"/>
                <w:color w:val="181818"/>
                <w:w w:val="105"/>
              </w:rPr>
              <w:t>16.</w:t>
            </w:r>
          </w:p>
        </w:tc>
        <w:tc>
          <w:tcPr>
            <w:tcW w:w="6946" w:type="dxa"/>
            <w:shd w:val="clear" w:color="auto" w:fill="FFFFFF" w:themeFill="background1"/>
          </w:tcPr>
          <w:p w:rsidR="009F7C77" w:rsidRPr="00032C39" w:rsidRDefault="009F7C77" w:rsidP="006D394E">
            <w:pPr>
              <w:jc w:val="both"/>
              <w:rPr>
                <w:rFonts w:ascii="Arial" w:hAnsi="Arial" w:cs="Arial"/>
              </w:rPr>
            </w:pPr>
            <w:r w:rsidRPr="00032C39">
              <w:rPr>
                <w:rFonts w:ascii="Arial" w:hAnsi="Arial" w:cs="Arial"/>
              </w:rPr>
              <w:t>Review representative selection of complaints responses to give better understanding of quality of responses.</w:t>
            </w:r>
          </w:p>
        </w:tc>
        <w:tc>
          <w:tcPr>
            <w:tcW w:w="2693" w:type="dxa"/>
            <w:shd w:val="clear" w:color="auto" w:fill="FFFFFF" w:themeFill="background1"/>
          </w:tcPr>
          <w:p w:rsidR="009F7C77" w:rsidRPr="00032C39" w:rsidRDefault="009F7C77" w:rsidP="006B0B1D">
            <w:pPr>
              <w:tabs>
                <w:tab w:val="left" w:pos="1360"/>
              </w:tabs>
              <w:jc w:val="both"/>
              <w:rPr>
                <w:rFonts w:ascii="Arial" w:hAnsi="Arial" w:cs="Arial"/>
                <w:color w:val="181818"/>
                <w:w w:val="105"/>
              </w:rPr>
            </w:pPr>
            <w:r w:rsidRPr="00032C39">
              <w:rPr>
                <w:rFonts w:ascii="Arial" w:hAnsi="Arial" w:cs="Arial"/>
                <w:color w:val="181818"/>
                <w:w w:val="105"/>
              </w:rPr>
              <w:t>June 2017 and then quarterly</w:t>
            </w:r>
          </w:p>
        </w:tc>
      </w:tr>
    </w:tbl>
    <w:p w:rsidR="007D60EE" w:rsidRPr="00032C39" w:rsidRDefault="007D60EE" w:rsidP="00D32E24">
      <w:pPr>
        <w:spacing w:after="0" w:line="240" w:lineRule="auto"/>
        <w:jc w:val="both"/>
        <w:rPr>
          <w:rFonts w:ascii="Arial" w:hAnsi="Arial" w:cs="Arial"/>
        </w:rPr>
      </w:pPr>
    </w:p>
    <w:p w:rsidR="007D60EE" w:rsidRDefault="007D60EE" w:rsidP="00D32E24">
      <w:pPr>
        <w:spacing w:after="0" w:line="240" w:lineRule="auto"/>
        <w:jc w:val="both"/>
        <w:rPr>
          <w:rFonts w:ascii="Arial" w:hAnsi="Arial" w:cs="Arial"/>
          <w:b/>
        </w:rPr>
      </w:pPr>
      <w:r>
        <w:rPr>
          <w:rFonts w:ascii="Arial" w:hAnsi="Arial" w:cs="Arial"/>
          <w:b/>
        </w:rPr>
        <w:t xml:space="preserve">Complaints Group </w:t>
      </w:r>
    </w:p>
    <w:p w:rsidR="00AC659A" w:rsidRPr="009D26C7" w:rsidRDefault="007D60EE" w:rsidP="00D32E24">
      <w:pPr>
        <w:spacing w:after="0" w:line="240" w:lineRule="auto"/>
        <w:jc w:val="both"/>
        <w:rPr>
          <w:rFonts w:ascii="Arial" w:hAnsi="Arial" w:cs="Arial"/>
        </w:rPr>
      </w:pPr>
      <w:r w:rsidRPr="009D26C7">
        <w:rPr>
          <w:rFonts w:ascii="Arial" w:hAnsi="Arial" w:cs="Arial"/>
        </w:rPr>
        <w:t>(Joss Saunders [Company Secretary &amp; General Counsel], Paul Mullins [Head of Supporter Services &amp; Operations], Joe West [Supporter Relations Team Manager], Roy Seaward [Customer and Shop Support Manager] and Judeth Neville [</w:t>
      </w:r>
      <w:r w:rsidR="00AC659A" w:rsidRPr="009D26C7">
        <w:rPr>
          <w:rFonts w:ascii="Arial" w:hAnsi="Arial" w:cs="Arial"/>
        </w:rPr>
        <w:t>Head of Governance</w:t>
      </w:r>
      <w:r w:rsidRPr="009D26C7">
        <w:rPr>
          <w:rFonts w:ascii="Arial" w:hAnsi="Arial" w:cs="Arial"/>
        </w:rPr>
        <w:t>])</w:t>
      </w:r>
    </w:p>
    <w:p w:rsidR="00AC659A" w:rsidRDefault="00AC659A" w:rsidP="00D32E24">
      <w:pPr>
        <w:spacing w:after="0" w:line="240" w:lineRule="auto"/>
        <w:jc w:val="both"/>
        <w:rPr>
          <w:rFonts w:ascii="Arial" w:hAnsi="Arial" w:cs="Arial"/>
          <w:b/>
        </w:rPr>
      </w:pPr>
      <w:r>
        <w:rPr>
          <w:rFonts w:ascii="Arial" w:hAnsi="Arial" w:cs="Arial"/>
          <w:b/>
        </w:rPr>
        <w:t>On behalf of Alison Hopkinson, Director of Finance</w:t>
      </w:r>
    </w:p>
    <w:p w:rsidR="007D60EE" w:rsidRDefault="007D60EE" w:rsidP="00D32E24">
      <w:pPr>
        <w:spacing w:after="0" w:line="240" w:lineRule="auto"/>
        <w:jc w:val="both"/>
        <w:rPr>
          <w:rFonts w:ascii="Arial" w:hAnsi="Arial" w:cs="Arial"/>
          <w:b/>
        </w:rPr>
      </w:pPr>
    </w:p>
    <w:p w:rsidR="007C2A46" w:rsidRPr="003A5732" w:rsidRDefault="00F21DA2" w:rsidP="00D32E24">
      <w:pPr>
        <w:spacing w:after="0" w:line="240" w:lineRule="auto"/>
        <w:jc w:val="both"/>
        <w:rPr>
          <w:rFonts w:ascii="Arial" w:hAnsi="Arial" w:cs="Arial"/>
          <w:b/>
        </w:rPr>
      </w:pPr>
      <w:r>
        <w:rPr>
          <w:rFonts w:ascii="Arial" w:hAnsi="Arial" w:cs="Arial"/>
          <w:b/>
        </w:rPr>
        <w:t>20 J</w:t>
      </w:r>
      <w:r w:rsidR="005057B4">
        <w:rPr>
          <w:rFonts w:ascii="Arial" w:hAnsi="Arial" w:cs="Arial"/>
          <w:b/>
        </w:rPr>
        <w:t xml:space="preserve">une 2017 </w:t>
      </w:r>
    </w:p>
    <w:sectPr w:rsidR="007C2A46" w:rsidRPr="003A5732" w:rsidSect="00606AD8">
      <w:headerReference w:type="default"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60" w:rsidRDefault="002C6060" w:rsidP="007947E7">
      <w:pPr>
        <w:spacing w:after="0" w:line="240" w:lineRule="auto"/>
      </w:pPr>
      <w:r>
        <w:separator/>
      </w:r>
    </w:p>
  </w:endnote>
  <w:endnote w:type="continuationSeparator" w:id="0">
    <w:p w:rsidR="002C6060" w:rsidRDefault="002C6060" w:rsidP="00794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xfam TSTAR PRO">
    <w:panose1 w:val="02000806030000020004"/>
    <w:charset w:val="00"/>
    <w:family w:val="auto"/>
    <w:pitch w:val="variable"/>
    <w:sig w:usb0="800002AF" w:usb1="5000204A"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441"/>
      <w:docPartObj>
        <w:docPartGallery w:val="Page Numbers (Bottom of Page)"/>
        <w:docPartUnique/>
      </w:docPartObj>
    </w:sdtPr>
    <w:sdtContent>
      <w:sdt>
        <w:sdtPr>
          <w:id w:val="565050523"/>
          <w:docPartObj>
            <w:docPartGallery w:val="Page Numbers (Top of Page)"/>
            <w:docPartUnique/>
          </w:docPartObj>
        </w:sdtPr>
        <w:sdtContent>
          <w:p w:rsidR="002C6060" w:rsidRDefault="002C6060">
            <w:pPr>
              <w:pStyle w:val="Footer"/>
              <w:jc w:val="right"/>
            </w:pPr>
            <w:r>
              <w:t xml:space="preserve">Page </w:t>
            </w:r>
            <w:r w:rsidR="007D51DB">
              <w:rPr>
                <w:b/>
                <w:sz w:val="24"/>
                <w:szCs w:val="24"/>
              </w:rPr>
              <w:fldChar w:fldCharType="begin"/>
            </w:r>
            <w:r>
              <w:rPr>
                <w:b/>
              </w:rPr>
              <w:instrText xml:space="preserve"> PAGE </w:instrText>
            </w:r>
            <w:r w:rsidR="007D51DB">
              <w:rPr>
                <w:b/>
                <w:sz w:val="24"/>
                <w:szCs w:val="24"/>
              </w:rPr>
              <w:fldChar w:fldCharType="separate"/>
            </w:r>
            <w:r w:rsidR="009F7C77">
              <w:rPr>
                <w:b/>
                <w:noProof/>
              </w:rPr>
              <w:t>13</w:t>
            </w:r>
            <w:r w:rsidR="007D51DB">
              <w:rPr>
                <w:b/>
                <w:sz w:val="24"/>
                <w:szCs w:val="24"/>
              </w:rPr>
              <w:fldChar w:fldCharType="end"/>
            </w:r>
            <w:r>
              <w:t xml:space="preserve"> of </w:t>
            </w:r>
            <w:r w:rsidR="007D51DB">
              <w:rPr>
                <w:b/>
                <w:sz w:val="24"/>
                <w:szCs w:val="24"/>
              </w:rPr>
              <w:fldChar w:fldCharType="begin"/>
            </w:r>
            <w:r>
              <w:rPr>
                <w:b/>
              </w:rPr>
              <w:instrText xml:space="preserve"> NUMPAGES  </w:instrText>
            </w:r>
            <w:r w:rsidR="007D51DB">
              <w:rPr>
                <w:b/>
                <w:sz w:val="24"/>
                <w:szCs w:val="24"/>
              </w:rPr>
              <w:fldChar w:fldCharType="separate"/>
            </w:r>
            <w:r w:rsidR="009F7C77">
              <w:rPr>
                <w:b/>
                <w:noProof/>
              </w:rPr>
              <w:t>14</w:t>
            </w:r>
            <w:r w:rsidR="007D51DB">
              <w:rPr>
                <w:b/>
                <w:sz w:val="24"/>
                <w:szCs w:val="24"/>
              </w:rPr>
              <w:fldChar w:fldCharType="end"/>
            </w:r>
          </w:p>
        </w:sdtContent>
      </w:sdt>
    </w:sdtContent>
  </w:sdt>
  <w:p w:rsidR="002C6060" w:rsidRDefault="002C60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60" w:rsidRPr="002A525D" w:rsidRDefault="002C6060" w:rsidP="00AC659A">
    <w:pPr>
      <w:rPr>
        <w:rFonts w:ascii="Oxfam TSTAR PRO" w:hAnsi="Oxfam TSTAR PRO"/>
        <w:sz w:val="14"/>
        <w:szCs w:val="14"/>
      </w:rPr>
    </w:pPr>
    <w:r w:rsidRPr="002A525D">
      <w:rPr>
        <w:rFonts w:ascii="Oxfam TSTAR PRO" w:hAnsi="Oxfam TSTAR PRO"/>
        <w:sz w:val="14"/>
        <w:szCs w:val="14"/>
      </w:rPr>
      <w:t xml:space="preserve">Chief Executive: Mark </w:t>
    </w:r>
    <w:proofErr w:type="spellStart"/>
    <w:r w:rsidRPr="002A525D">
      <w:rPr>
        <w:rFonts w:ascii="Oxfam TSTAR PRO" w:hAnsi="Oxfam TSTAR PRO"/>
        <w:sz w:val="14"/>
        <w:szCs w:val="14"/>
      </w:rPr>
      <w:t>Goldring</w:t>
    </w:r>
    <w:proofErr w:type="spellEnd"/>
    <w:r w:rsidRPr="002A525D">
      <w:rPr>
        <w:rFonts w:ascii="Oxfam TSTAR PRO" w:hAnsi="Oxfam TSTAR PRO"/>
        <w:sz w:val="14"/>
        <w:szCs w:val="14"/>
      </w:rPr>
      <w:t xml:space="preserve"> CBE. Oxfam is a registered charity in England and Wales (202918) and Scotland (SC039042) and a company limited by guarantee registered in England No 612172 at Oxfam House, John Smith Drive, </w:t>
    </w:r>
    <w:proofErr w:type="spellStart"/>
    <w:r w:rsidRPr="002A525D">
      <w:rPr>
        <w:rFonts w:ascii="Oxfam TSTAR PRO" w:hAnsi="Oxfam TSTAR PRO"/>
        <w:sz w:val="14"/>
        <w:szCs w:val="14"/>
      </w:rPr>
      <w:t>Cowley</w:t>
    </w:r>
    <w:proofErr w:type="spellEnd"/>
    <w:r w:rsidRPr="002A525D">
      <w:rPr>
        <w:rFonts w:ascii="Oxfam TSTAR PRO" w:hAnsi="Oxfam TSTAR PRO"/>
        <w:sz w:val="14"/>
        <w:szCs w:val="14"/>
      </w:rPr>
      <w:t>, Oxford OX4 2JY. Oxfam GB is a member of Oxfam International.</w:t>
    </w:r>
  </w:p>
  <w:p w:rsidR="002C6060" w:rsidRDefault="002C6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60" w:rsidRDefault="002C6060" w:rsidP="007947E7">
      <w:pPr>
        <w:spacing w:after="0" w:line="240" w:lineRule="auto"/>
      </w:pPr>
      <w:r>
        <w:separator/>
      </w:r>
    </w:p>
  </w:footnote>
  <w:footnote w:type="continuationSeparator" w:id="0">
    <w:p w:rsidR="002C6060" w:rsidRDefault="002C6060" w:rsidP="007947E7">
      <w:pPr>
        <w:spacing w:after="0" w:line="240" w:lineRule="auto"/>
      </w:pPr>
      <w:r>
        <w:continuationSeparator/>
      </w:r>
    </w:p>
  </w:footnote>
  <w:footnote w:id="1">
    <w:p w:rsidR="002C6060" w:rsidRDefault="002C6060">
      <w:pPr>
        <w:pStyle w:val="FootnoteText"/>
      </w:pPr>
      <w:r>
        <w:rPr>
          <w:rStyle w:val="FootnoteReference"/>
        </w:rPr>
        <w:footnoteRef/>
      </w:r>
      <w:r>
        <w:t xml:space="preserve"> </w:t>
      </w:r>
      <w:r w:rsidRPr="00F1064E">
        <w:t>https://accountablenow.org/</w:t>
      </w:r>
    </w:p>
  </w:footnote>
  <w:footnote w:id="2">
    <w:p w:rsidR="002C6060" w:rsidRDefault="002C6060">
      <w:pPr>
        <w:pStyle w:val="FootnoteText"/>
      </w:pPr>
      <w:r>
        <w:rPr>
          <w:rStyle w:val="FootnoteReference"/>
        </w:rPr>
        <w:footnoteRef/>
      </w:r>
      <w:r>
        <w:t xml:space="preserve"> Other than staff and volunteer grievances, which are managed and monitored by the People Team, and safeguarding and other </w:t>
      </w:r>
      <w:proofErr w:type="spellStart"/>
      <w:r>
        <w:t>whistleblowing</w:t>
      </w:r>
      <w:proofErr w:type="spellEnd"/>
      <w:r>
        <w:t xml:space="preserve">-type </w:t>
      </w:r>
      <w:proofErr w:type="gramStart"/>
      <w:r>
        <w:t>complaints.</w:t>
      </w:r>
      <w:proofErr w:type="gramEnd"/>
      <w:r>
        <w:t xml:space="preserve">  All these are reported separately to OGB’s Leadership Team and Council on an annual basis.  </w:t>
      </w:r>
    </w:p>
  </w:footnote>
  <w:footnote w:id="3">
    <w:p w:rsidR="002C6060" w:rsidRDefault="002C6060">
      <w:pPr>
        <w:pStyle w:val="FootnoteText"/>
      </w:pPr>
      <w:r>
        <w:rPr>
          <w:rStyle w:val="FootnoteReference"/>
        </w:rPr>
        <w:footnoteRef/>
      </w:r>
      <w:r>
        <w:t xml:space="preserve"> Excluding online shop and website, which are reported within the Supporter Relations </w:t>
      </w:r>
      <w:proofErr w:type="gramStart"/>
      <w:r>
        <w:t>category.</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60" w:rsidRDefault="002C6060" w:rsidP="00606A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60" w:rsidRDefault="002C6060" w:rsidP="00606AD8">
    <w:pPr>
      <w:pStyle w:val="Header"/>
      <w:tabs>
        <w:tab w:val="left" w:pos="8775"/>
      </w:tabs>
    </w:pPr>
    <w:proofErr w:type="gramStart"/>
    <w:r>
      <w:t>Council  of</w:t>
    </w:r>
    <w:proofErr w:type="gramEnd"/>
    <w:r>
      <w:t xml:space="preserve"> Trustees meeting</w:t>
    </w:r>
    <w:r>
      <w:tab/>
      <w:t>Item 4</w:t>
    </w:r>
  </w:p>
  <w:p w:rsidR="002C6060" w:rsidRPr="00606AD8" w:rsidRDefault="002C6060" w:rsidP="00606AD8">
    <w:pPr>
      <w:pStyle w:val="Header"/>
    </w:pPr>
    <w:proofErr w:type="gramStart"/>
    <w:r>
      <w:t>6  &amp;</w:t>
    </w:r>
    <w:proofErr w:type="gramEnd"/>
    <w:r>
      <w:t xml:space="preserve"> 7 July 2017</w:t>
    </w:r>
    <w:r>
      <w:tab/>
      <w:t>Paper D,  appendix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140A"/>
    <w:multiLevelType w:val="hybridMultilevel"/>
    <w:tmpl w:val="944C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62A3E"/>
    <w:multiLevelType w:val="hybridMultilevel"/>
    <w:tmpl w:val="7BD4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904DF"/>
    <w:multiLevelType w:val="hybridMultilevel"/>
    <w:tmpl w:val="DB66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8C4B7D"/>
    <w:multiLevelType w:val="hybridMultilevel"/>
    <w:tmpl w:val="747EA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3E61FF"/>
    <w:multiLevelType w:val="hybridMultilevel"/>
    <w:tmpl w:val="624A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5966D9"/>
    <w:multiLevelType w:val="hybridMultilevel"/>
    <w:tmpl w:val="DA4E86CC"/>
    <w:lvl w:ilvl="0" w:tplc="6AB28C4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7BC7929"/>
    <w:multiLevelType w:val="hybridMultilevel"/>
    <w:tmpl w:val="C550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137D47"/>
    <w:multiLevelType w:val="hybridMultilevel"/>
    <w:tmpl w:val="B43C1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103E94"/>
    <w:multiLevelType w:val="hybridMultilevel"/>
    <w:tmpl w:val="058C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D7761E"/>
    <w:multiLevelType w:val="hybridMultilevel"/>
    <w:tmpl w:val="681C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3C505D"/>
    <w:multiLevelType w:val="hybridMultilevel"/>
    <w:tmpl w:val="6C56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D51F53"/>
    <w:multiLevelType w:val="hybridMultilevel"/>
    <w:tmpl w:val="D410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1F0126"/>
    <w:multiLevelType w:val="hybridMultilevel"/>
    <w:tmpl w:val="9322E54C"/>
    <w:lvl w:ilvl="0" w:tplc="49CA5AE6">
      <w:numFmt w:val="bullet"/>
      <w:lvlText w:val="•"/>
      <w:lvlJc w:val="left"/>
      <w:pPr>
        <w:ind w:left="462" w:hanging="362"/>
      </w:pPr>
      <w:rPr>
        <w:rFonts w:hint="default"/>
        <w:w w:val="98"/>
      </w:rPr>
    </w:lvl>
    <w:lvl w:ilvl="1" w:tplc="A5C64D22">
      <w:numFmt w:val="bullet"/>
      <w:lvlText w:val="•"/>
      <w:lvlJc w:val="left"/>
      <w:pPr>
        <w:ind w:left="628" w:hanging="359"/>
      </w:pPr>
      <w:rPr>
        <w:rFonts w:hint="default"/>
        <w:w w:val="102"/>
      </w:rPr>
    </w:lvl>
    <w:lvl w:ilvl="2" w:tplc="A23686DE">
      <w:numFmt w:val="bullet"/>
      <w:lvlText w:val="•"/>
      <w:lvlJc w:val="left"/>
      <w:pPr>
        <w:ind w:left="986" w:hanging="359"/>
      </w:pPr>
      <w:rPr>
        <w:rFonts w:ascii="Arial" w:eastAsia="Arial" w:hAnsi="Arial" w:cs="Arial" w:hint="default"/>
        <w:color w:val="161616"/>
        <w:w w:val="100"/>
        <w:sz w:val="20"/>
        <w:szCs w:val="20"/>
      </w:rPr>
    </w:lvl>
    <w:lvl w:ilvl="3" w:tplc="98BCF632">
      <w:numFmt w:val="bullet"/>
      <w:lvlText w:val="-"/>
      <w:lvlJc w:val="left"/>
      <w:pPr>
        <w:ind w:left="1182" w:hanging="359"/>
      </w:pPr>
      <w:rPr>
        <w:rFonts w:ascii="Arial" w:eastAsia="Arial" w:hAnsi="Arial" w:cs="Arial" w:hint="default"/>
        <w:color w:val="161616"/>
        <w:w w:val="104"/>
        <w:sz w:val="20"/>
        <w:szCs w:val="20"/>
      </w:rPr>
    </w:lvl>
    <w:lvl w:ilvl="4" w:tplc="98F8DC48">
      <w:numFmt w:val="bullet"/>
      <w:lvlText w:val="•"/>
      <w:lvlJc w:val="left"/>
      <w:pPr>
        <w:ind w:left="820" w:hanging="359"/>
      </w:pPr>
      <w:rPr>
        <w:rFonts w:hint="default"/>
      </w:rPr>
    </w:lvl>
    <w:lvl w:ilvl="5" w:tplc="79CAB3FA">
      <w:numFmt w:val="bullet"/>
      <w:lvlText w:val="•"/>
      <w:lvlJc w:val="left"/>
      <w:pPr>
        <w:ind w:left="980" w:hanging="359"/>
      </w:pPr>
      <w:rPr>
        <w:rFonts w:hint="default"/>
      </w:rPr>
    </w:lvl>
    <w:lvl w:ilvl="6" w:tplc="0776B1F0">
      <w:numFmt w:val="bullet"/>
      <w:lvlText w:val="•"/>
      <w:lvlJc w:val="left"/>
      <w:pPr>
        <w:ind w:left="1180" w:hanging="359"/>
      </w:pPr>
      <w:rPr>
        <w:rFonts w:hint="default"/>
      </w:rPr>
    </w:lvl>
    <w:lvl w:ilvl="7" w:tplc="FB9E6AA6">
      <w:numFmt w:val="bullet"/>
      <w:lvlText w:val="•"/>
      <w:lvlJc w:val="left"/>
      <w:pPr>
        <w:ind w:left="3171" w:hanging="359"/>
      </w:pPr>
      <w:rPr>
        <w:rFonts w:hint="default"/>
      </w:rPr>
    </w:lvl>
    <w:lvl w:ilvl="8" w:tplc="DBCA65F0">
      <w:numFmt w:val="bullet"/>
      <w:lvlText w:val="•"/>
      <w:lvlJc w:val="left"/>
      <w:pPr>
        <w:ind w:left="5162" w:hanging="359"/>
      </w:pPr>
      <w:rPr>
        <w:rFonts w:hint="default"/>
      </w:rPr>
    </w:lvl>
  </w:abstractNum>
  <w:num w:numId="1">
    <w:abstractNumId w:val="3"/>
  </w:num>
  <w:num w:numId="2">
    <w:abstractNumId w:val="12"/>
  </w:num>
  <w:num w:numId="3">
    <w:abstractNumId w:val="5"/>
  </w:num>
  <w:num w:numId="4">
    <w:abstractNumId w:val="7"/>
  </w:num>
  <w:num w:numId="5">
    <w:abstractNumId w:val="6"/>
  </w:num>
  <w:num w:numId="6">
    <w:abstractNumId w:val="2"/>
  </w:num>
  <w:num w:numId="7">
    <w:abstractNumId w:val="1"/>
  </w:num>
  <w:num w:numId="8">
    <w:abstractNumId w:val="0"/>
  </w:num>
  <w:num w:numId="9">
    <w:abstractNumId w:val="9"/>
  </w:num>
  <w:num w:numId="10">
    <w:abstractNumId w:val="10"/>
  </w:num>
  <w:num w:numId="11">
    <w:abstractNumId w:val="8"/>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3A5732"/>
    <w:rsid w:val="00032C39"/>
    <w:rsid w:val="00060D10"/>
    <w:rsid w:val="00092AEE"/>
    <w:rsid w:val="000D180B"/>
    <w:rsid w:val="0013133B"/>
    <w:rsid w:val="0013462E"/>
    <w:rsid w:val="00134A23"/>
    <w:rsid w:val="00134F22"/>
    <w:rsid w:val="00151D2E"/>
    <w:rsid w:val="001600CB"/>
    <w:rsid w:val="00190DA5"/>
    <w:rsid w:val="001A0F04"/>
    <w:rsid w:val="001C5602"/>
    <w:rsid w:val="00226F04"/>
    <w:rsid w:val="0024385C"/>
    <w:rsid w:val="00252FFB"/>
    <w:rsid w:val="002549FF"/>
    <w:rsid w:val="00261A40"/>
    <w:rsid w:val="00273518"/>
    <w:rsid w:val="00275EDF"/>
    <w:rsid w:val="002C6060"/>
    <w:rsid w:val="002D11BD"/>
    <w:rsid w:val="002D5803"/>
    <w:rsid w:val="002E4152"/>
    <w:rsid w:val="002F6ED6"/>
    <w:rsid w:val="003233CE"/>
    <w:rsid w:val="00324B54"/>
    <w:rsid w:val="00361904"/>
    <w:rsid w:val="003711D5"/>
    <w:rsid w:val="0039151C"/>
    <w:rsid w:val="003A282D"/>
    <w:rsid w:val="003A5732"/>
    <w:rsid w:val="003D10C4"/>
    <w:rsid w:val="003D78A5"/>
    <w:rsid w:val="003F5210"/>
    <w:rsid w:val="00424D62"/>
    <w:rsid w:val="00462AD8"/>
    <w:rsid w:val="00473D17"/>
    <w:rsid w:val="00475FCF"/>
    <w:rsid w:val="0048787F"/>
    <w:rsid w:val="004A2E88"/>
    <w:rsid w:val="004D2DA5"/>
    <w:rsid w:val="005057B4"/>
    <w:rsid w:val="00526FFE"/>
    <w:rsid w:val="005370CD"/>
    <w:rsid w:val="0055250C"/>
    <w:rsid w:val="0056182B"/>
    <w:rsid w:val="0056251D"/>
    <w:rsid w:val="005665C5"/>
    <w:rsid w:val="00573B1B"/>
    <w:rsid w:val="005929DD"/>
    <w:rsid w:val="005A405A"/>
    <w:rsid w:val="005D67AD"/>
    <w:rsid w:val="005E1ADC"/>
    <w:rsid w:val="00606696"/>
    <w:rsid w:val="00606AD8"/>
    <w:rsid w:val="006571ED"/>
    <w:rsid w:val="0066335E"/>
    <w:rsid w:val="00674073"/>
    <w:rsid w:val="00690188"/>
    <w:rsid w:val="006B0B1D"/>
    <w:rsid w:val="006C03E3"/>
    <w:rsid w:val="006D394E"/>
    <w:rsid w:val="00705CD3"/>
    <w:rsid w:val="00730E57"/>
    <w:rsid w:val="00757F91"/>
    <w:rsid w:val="007902FB"/>
    <w:rsid w:val="007947E7"/>
    <w:rsid w:val="007A3F44"/>
    <w:rsid w:val="007C2A46"/>
    <w:rsid w:val="007D2F04"/>
    <w:rsid w:val="007D51DB"/>
    <w:rsid w:val="007D60EE"/>
    <w:rsid w:val="007F7A06"/>
    <w:rsid w:val="00842B85"/>
    <w:rsid w:val="0085719E"/>
    <w:rsid w:val="008578DF"/>
    <w:rsid w:val="008670D9"/>
    <w:rsid w:val="008735DB"/>
    <w:rsid w:val="008B0D01"/>
    <w:rsid w:val="008E7AC1"/>
    <w:rsid w:val="00921E2A"/>
    <w:rsid w:val="00950B91"/>
    <w:rsid w:val="009523CA"/>
    <w:rsid w:val="00954C7C"/>
    <w:rsid w:val="00990EDD"/>
    <w:rsid w:val="009D0D7E"/>
    <w:rsid w:val="009D26C7"/>
    <w:rsid w:val="009D6F67"/>
    <w:rsid w:val="009E133F"/>
    <w:rsid w:val="009F6062"/>
    <w:rsid w:val="009F7C77"/>
    <w:rsid w:val="00A246C7"/>
    <w:rsid w:val="00A3065A"/>
    <w:rsid w:val="00A40DF4"/>
    <w:rsid w:val="00A55A74"/>
    <w:rsid w:val="00AA20EE"/>
    <w:rsid w:val="00AC6332"/>
    <w:rsid w:val="00AC659A"/>
    <w:rsid w:val="00AD2F1C"/>
    <w:rsid w:val="00AD6800"/>
    <w:rsid w:val="00AD7F6F"/>
    <w:rsid w:val="00AF645A"/>
    <w:rsid w:val="00B03D6A"/>
    <w:rsid w:val="00B53E63"/>
    <w:rsid w:val="00B8260C"/>
    <w:rsid w:val="00BA479C"/>
    <w:rsid w:val="00BB4BA4"/>
    <w:rsid w:val="00BC0569"/>
    <w:rsid w:val="00BC5787"/>
    <w:rsid w:val="00BD3DCC"/>
    <w:rsid w:val="00BE10A1"/>
    <w:rsid w:val="00BF471F"/>
    <w:rsid w:val="00C05C87"/>
    <w:rsid w:val="00C06CFD"/>
    <w:rsid w:val="00C23512"/>
    <w:rsid w:val="00C24B4C"/>
    <w:rsid w:val="00C54E16"/>
    <w:rsid w:val="00C6263B"/>
    <w:rsid w:val="00C76621"/>
    <w:rsid w:val="00CA00AE"/>
    <w:rsid w:val="00CA49E9"/>
    <w:rsid w:val="00CC4E39"/>
    <w:rsid w:val="00CC7EFC"/>
    <w:rsid w:val="00CE2515"/>
    <w:rsid w:val="00CE7377"/>
    <w:rsid w:val="00D115B4"/>
    <w:rsid w:val="00D32E24"/>
    <w:rsid w:val="00D3727A"/>
    <w:rsid w:val="00D40112"/>
    <w:rsid w:val="00D41404"/>
    <w:rsid w:val="00D44635"/>
    <w:rsid w:val="00D5561F"/>
    <w:rsid w:val="00D86065"/>
    <w:rsid w:val="00DC3163"/>
    <w:rsid w:val="00E04762"/>
    <w:rsid w:val="00E13456"/>
    <w:rsid w:val="00E14D3A"/>
    <w:rsid w:val="00E8285F"/>
    <w:rsid w:val="00EA3D87"/>
    <w:rsid w:val="00EB0A1B"/>
    <w:rsid w:val="00EB3076"/>
    <w:rsid w:val="00EC2BD6"/>
    <w:rsid w:val="00EC2C74"/>
    <w:rsid w:val="00F1064E"/>
    <w:rsid w:val="00F21DA2"/>
    <w:rsid w:val="00F33DF4"/>
    <w:rsid w:val="00F60958"/>
    <w:rsid w:val="00F73E67"/>
    <w:rsid w:val="00F8604C"/>
    <w:rsid w:val="00FC43D0"/>
    <w:rsid w:val="00FD5D86"/>
    <w:rsid w:val="00FF65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0C"/>
  </w:style>
  <w:style w:type="paragraph" w:styleId="Heading1">
    <w:name w:val="heading 1"/>
    <w:basedOn w:val="Normal"/>
    <w:next w:val="Normal"/>
    <w:link w:val="Heading1Char"/>
    <w:uiPriority w:val="9"/>
    <w:qFormat/>
    <w:rsid w:val="00252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5732"/>
    <w:pPr>
      <w:ind w:left="720"/>
      <w:contextualSpacing/>
    </w:pPr>
  </w:style>
  <w:style w:type="paragraph" w:styleId="BodyText">
    <w:name w:val="Body Text"/>
    <w:basedOn w:val="Normal"/>
    <w:link w:val="BodyTextChar"/>
    <w:uiPriority w:val="1"/>
    <w:qFormat/>
    <w:rsid w:val="003A5732"/>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3A5732"/>
    <w:rPr>
      <w:rFonts w:ascii="Arial" w:eastAsia="Arial" w:hAnsi="Arial" w:cs="Arial"/>
      <w:sz w:val="21"/>
      <w:szCs w:val="21"/>
      <w:lang w:val="en-US"/>
    </w:rPr>
  </w:style>
  <w:style w:type="paragraph" w:styleId="Header">
    <w:name w:val="header"/>
    <w:basedOn w:val="Normal"/>
    <w:link w:val="HeaderChar"/>
    <w:uiPriority w:val="99"/>
    <w:semiHidden/>
    <w:unhideWhenUsed/>
    <w:rsid w:val="00794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7E7"/>
  </w:style>
  <w:style w:type="paragraph" w:styleId="Footer">
    <w:name w:val="footer"/>
    <w:basedOn w:val="Normal"/>
    <w:link w:val="FooterChar"/>
    <w:uiPriority w:val="99"/>
    <w:unhideWhenUsed/>
    <w:rsid w:val="00794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7E7"/>
  </w:style>
  <w:style w:type="paragraph" w:styleId="BalloonText">
    <w:name w:val="Balloon Text"/>
    <w:basedOn w:val="Normal"/>
    <w:link w:val="BalloonTextChar"/>
    <w:uiPriority w:val="99"/>
    <w:semiHidden/>
    <w:unhideWhenUsed/>
    <w:rsid w:val="0025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FB"/>
    <w:rPr>
      <w:rFonts w:ascii="Tahoma" w:hAnsi="Tahoma" w:cs="Tahoma"/>
      <w:sz w:val="16"/>
      <w:szCs w:val="16"/>
    </w:rPr>
  </w:style>
  <w:style w:type="character" w:customStyle="1" w:styleId="Heading1Char">
    <w:name w:val="Heading 1 Char"/>
    <w:basedOn w:val="DefaultParagraphFont"/>
    <w:link w:val="Heading1"/>
    <w:uiPriority w:val="9"/>
    <w:rsid w:val="00252FFB"/>
    <w:rPr>
      <w:rFonts w:asciiTheme="majorHAnsi" w:eastAsiaTheme="majorEastAsia" w:hAnsiTheme="majorHAnsi" w:cstheme="majorBidi"/>
      <w:b/>
      <w:bCs/>
      <w:color w:val="365F91" w:themeColor="accent1" w:themeShade="BF"/>
      <w:sz w:val="28"/>
      <w:szCs w:val="28"/>
    </w:rPr>
  </w:style>
  <w:style w:type="table" w:styleId="LightGrid-Accent4">
    <w:name w:val="Light Grid Accent 4"/>
    <w:basedOn w:val="TableNormal"/>
    <w:uiPriority w:val="62"/>
    <w:rsid w:val="00252FF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FootnoteText">
    <w:name w:val="footnote text"/>
    <w:basedOn w:val="Normal"/>
    <w:link w:val="FootnoteTextChar"/>
    <w:uiPriority w:val="99"/>
    <w:semiHidden/>
    <w:unhideWhenUsed/>
    <w:rsid w:val="00371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1D5"/>
    <w:rPr>
      <w:sz w:val="20"/>
      <w:szCs w:val="20"/>
    </w:rPr>
  </w:style>
  <w:style w:type="character" w:styleId="FootnoteReference">
    <w:name w:val="footnote reference"/>
    <w:basedOn w:val="DefaultParagraphFont"/>
    <w:uiPriority w:val="99"/>
    <w:semiHidden/>
    <w:unhideWhenUsed/>
    <w:rsid w:val="003711D5"/>
    <w:rPr>
      <w:vertAlign w:val="superscript"/>
    </w:rPr>
  </w:style>
  <w:style w:type="character" w:styleId="Hyperlink">
    <w:name w:val="Hyperlink"/>
    <w:basedOn w:val="DefaultParagraphFont"/>
    <w:uiPriority w:val="99"/>
    <w:semiHidden/>
    <w:unhideWhenUsed/>
    <w:rsid w:val="00EC2BD6"/>
    <w:rPr>
      <w:strike w:val="0"/>
      <w:dstrike w:val="0"/>
      <w:color w:val="559809"/>
      <w:sz w:val="24"/>
      <w:szCs w:val="24"/>
      <w:u w:val="none"/>
      <w:effect w:val="none"/>
    </w:rPr>
  </w:style>
  <w:style w:type="paragraph" w:styleId="NormalWeb">
    <w:name w:val="Normal (Web)"/>
    <w:basedOn w:val="Normal"/>
    <w:uiPriority w:val="99"/>
    <w:semiHidden/>
    <w:unhideWhenUsed/>
    <w:rsid w:val="00EC2BD6"/>
    <w:pPr>
      <w:spacing w:before="100" w:beforeAutospacing="1" w:after="100" w:afterAutospacing="1"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462AD8"/>
    <w:rPr>
      <w:sz w:val="16"/>
      <w:szCs w:val="16"/>
    </w:rPr>
  </w:style>
  <w:style w:type="paragraph" w:styleId="CommentText">
    <w:name w:val="annotation text"/>
    <w:basedOn w:val="Normal"/>
    <w:link w:val="CommentTextChar"/>
    <w:uiPriority w:val="99"/>
    <w:semiHidden/>
    <w:unhideWhenUsed/>
    <w:rsid w:val="00462AD8"/>
    <w:pPr>
      <w:spacing w:line="240" w:lineRule="auto"/>
    </w:pPr>
    <w:rPr>
      <w:sz w:val="20"/>
      <w:szCs w:val="20"/>
    </w:rPr>
  </w:style>
  <w:style w:type="character" w:customStyle="1" w:styleId="CommentTextChar">
    <w:name w:val="Comment Text Char"/>
    <w:basedOn w:val="DefaultParagraphFont"/>
    <w:link w:val="CommentText"/>
    <w:uiPriority w:val="99"/>
    <w:semiHidden/>
    <w:rsid w:val="00462AD8"/>
    <w:rPr>
      <w:sz w:val="20"/>
      <w:szCs w:val="20"/>
    </w:rPr>
  </w:style>
  <w:style w:type="paragraph" w:styleId="CommentSubject">
    <w:name w:val="annotation subject"/>
    <w:basedOn w:val="CommentText"/>
    <w:next w:val="CommentText"/>
    <w:link w:val="CommentSubjectChar"/>
    <w:uiPriority w:val="99"/>
    <w:semiHidden/>
    <w:unhideWhenUsed/>
    <w:rsid w:val="00462AD8"/>
    <w:rPr>
      <w:b/>
      <w:bCs/>
    </w:rPr>
  </w:style>
  <w:style w:type="character" w:customStyle="1" w:styleId="CommentSubjectChar">
    <w:name w:val="Comment Subject Char"/>
    <w:basedOn w:val="CommentTextChar"/>
    <w:link w:val="CommentSubject"/>
    <w:uiPriority w:val="99"/>
    <w:semiHidden/>
    <w:rsid w:val="00462AD8"/>
    <w:rPr>
      <w:b/>
      <w:bCs/>
    </w:rPr>
  </w:style>
</w:styles>
</file>

<file path=word/webSettings.xml><?xml version="1.0" encoding="utf-8"?>
<w:webSettings xmlns:r="http://schemas.openxmlformats.org/officeDocument/2006/relationships" xmlns:w="http://schemas.openxmlformats.org/wordprocessingml/2006/main">
  <w:divs>
    <w:div w:id="71584741">
      <w:bodyDiv w:val="1"/>
      <w:marLeft w:val="0"/>
      <w:marRight w:val="0"/>
      <w:marTop w:val="0"/>
      <w:marBottom w:val="0"/>
      <w:divBdr>
        <w:top w:val="none" w:sz="0" w:space="0" w:color="auto"/>
        <w:left w:val="none" w:sz="0" w:space="0" w:color="auto"/>
        <w:bottom w:val="none" w:sz="0" w:space="0" w:color="auto"/>
        <w:right w:val="none" w:sz="0" w:space="0" w:color="auto"/>
      </w:divBdr>
    </w:div>
    <w:div w:id="341589009">
      <w:bodyDiv w:val="1"/>
      <w:marLeft w:val="0"/>
      <w:marRight w:val="0"/>
      <w:marTop w:val="0"/>
      <w:marBottom w:val="0"/>
      <w:divBdr>
        <w:top w:val="none" w:sz="0" w:space="0" w:color="auto"/>
        <w:left w:val="none" w:sz="0" w:space="0" w:color="auto"/>
        <w:bottom w:val="none" w:sz="0" w:space="0" w:color="auto"/>
        <w:right w:val="none" w:sz="0" w:space="0" w:color="auto"/>
      </w:divBdr>
    </w:div>
    <w:div w:id="542602114">
      <w:bodyDiv w:val="1"/>
      <w:marLeft w:val="0"/>
      <w:marRight w:val="0"/>
      <w:marTop w:val="0"/>
      <w:marBottom w:val="0"/>
      <w:divBdr>
        <w:top w:val="none" w:sz="0" w:space="0" w:color="auto"/>
        <w:left w:val="none" w:sz="0" w:space="0" w:color="auto"/>
        <w:bottom w:val="none" w:sz="0" w:space="0" w:color="auto"/>
        <w:right w:val="none" w:sz="0" w:space="0" w:color="auto"/>
      </w:divBdr>
    </w:div>
    <w:div w:id="904336843">
      <w:bodyDiv w:val="1"/>
      <w:marLeft w:val="0"/>
      <w:marRight w:val="0"/>
      <w:marTop w:val="0"/>
      <w:marBottom w:val="0"/>
      <w:divBdr>
        <w:top w:val="none" w:sz="0" w:space="0" w:color="auto"/>
        <w:left w:val="none" w:sz="0" w:space="0" w:color="auto"/>
        <w:bottom w:val="none" w:sz="0" w:space="0" w:color="auto"/>
        <w:right w:val="none" w:sz="0" w:space="0" w:color="auto"/>
      </w:divBdr>
    </w:div>
    <w:div w:id="1028917773">
      <w:bodyDiv w:val="1"/>
      <w:marLeft w:val="0"/>
      <w:marRight w:val="0"/>
      <w:marTop w:val="0"/>
      <w:marBottom w:val="0"/>
      <w:divBdr>
        <w:top w:val="none" w:sz="0" w:space="0" w:color="auto"/>
        <w:left w:val="none" w:sz="0" w:space="0" w:color="auto"/>
        <w:bottom w:val="none" w:sz="0" w:space="0" w:color="auto"/>
        <w:right w:val="none" w:sz="0" w:space="0" w:color="auto"/>
      </w:divBdr>
    </w:div>
    <w:div w:id="1214997949">
      <w:bodyDiv w:val="1"/>
      <w:marLeft w:val="0"/>
      <w:marRight w:val="0"/>
      <w:marTop w:val="0"/>
      <w:marBottom w:val="0"/>
      <w:divBdr>
        <w:top w:val="none" w:sz="0" w:space="0" w:color="auto"/>
        <w:left w:val="none" w:sz="0" w:space="0" w:color="auto"/>
        <w:bottom w:val="none" w:sz="0" w:space="0" w:color="auto"/>
        <w:right w:val="none" w:sz="0" w:space="0" w:color="auto"/>
      </w:divBdr>
    </w:div>
    <w:div w:id="1534465480">
      <w:bodyDiv w:val="1"/>
      <w:marLeft w:val="0"/>
      <w:marRight w:val="0"/>
      <w:marTop w:val="0"/>
      <w:marBottom w:val="0"/>
      <w:divBdr>
        <w:top w:val="none" w:sz="0" w:space="0" w:color="auto"/>
        <w:left w:val="none" w:sz="0" w:space="0" w:color="auto"/>
        <w:bottom w:val="none" w:sz="0" w:space="0" w:color="auto"/>
        <w:right w:val="none" w:sz="0" w:space="0" w:color="auto"/>
      </w:divBdr>
      <w:divsChild>
        <w:div w:id="1032001533">
          <w:marLeft w:val="0"/>
          <w:marRight w:val="0"/>
          <w:marTop w:val="0"/>
          <w:marBottom w:val="0"/>
          <w:divBdr>
            <w:top w:val="none" w:sz="0" w:space="0" w:color="auto"/>
            <w:left w:val="none" w:sz="0" w:space="0" w:color="auto"/>
            <w:bottom w:val="none" w:sz="0" w:space="0" w:color="auto"/>
            <w:right w:val="none" w:sz="0" w:space="0" w:color="auto"/>
          </w:divBdr>
          <w:divsChild>
            <w:div w:id="1796413280">
              <w:marLeft w:val="0"/>
              <w:marRight w:val="0"/>
              <w:marTop w:val="0"/>
              <w:marBottom w:val="0"/>
              <w:divBdr>
                <w:top w:val="none" w:sz="0" w:space="0" w:color="auto"/>
                <w:left w:val="none" w:sz="0" w:space="0" w:color="auto"/>
                <w:bottom w:val="none" w:sz="0" w:space="0" w:color="auto"/>
                <w:right w:val="none" w:sz="0" w:space="0" w:color="auto"/>
              </w:divBdr>
              <w:divsChild>
                <w:div w:id="378894687">
                  <w:marLeft w:val="0"/>
                  <w:marRight w:val="0"/>
                  <w:marTop w:val="0"/>
                  <w:marBottom w:val="0"/>
                  <w:divBdr>
                    <w:top w:val="none" w:sz="0" w:space="0" w:color="auto"/>
                    <w:left w:val="none" w:sz="0" w:space="0" w:color="auto"/>
                    <w:bottom w:val="none" w:sz="0" w:space="0" w:color="auto"/>
                    <w:right w:val="none" w:sz="0" w:space="0" w:color="auto"/>
                  </w:divBdr>
                  <w:divsChild>
                    <w:div w:id="833762632">
                      <w:marLeft w:val="0"/>
                      <w:marRight w:val="0"/>
                      <w:marTop w:val="0"/>
                      <w:marBottom w:val="300"/>
                      <w:divBdr>
                        <w:top w:val="none" w:sz="0" w:space="0" w:color="auto"/>
                        <w:left w:val="none" w:sz="0" w:space="0" w:color="auto"/>
                        <w:bottom w:val="none" w:sz="0" w:space="0" w:color="auto"/>
                        <w:right w:val="none" w:sz="0" w:space="0" w:color="auto"/>
                      </w:divBdr>
                      <w:divsChild>
                        <w:div w:id="1368605835">
                          <w:marLeft w:val="0"/>
                          <w:marRight w:val="0"/>
                          <w:marTop w:val="0"/>
                          <w:marBottom w:val="0"/>
                          <w:divBdr>
                            <w:top w:val="none" w:sz="0" w:space="0" w:color="auto"/>
                            <w:left w:val="none" w:sz="0" w:space="0" w:color="auto"/>
                            <w:bottom w:val="none" w:sz="0" w:space="0" w:color="auto"/>
                            <w:right w:val="none" w:sz="0" w:space="0" w:color="auto"/>
                          </w:divBdr>
                          <w:divsChild>
                            <w:div w:id="1604268444">
                              <w:marLeft w:val="0"/>
                              <w:marRight w:val="0"/>
                              <w:marTop w:val="0"/>
                              <w:marBottom w:val="150"/>
                              <w:divBdr>
                                <w:top w:val="none" w:sz="0" w:space="0" w:color="auto"/>
                                <w:left w:val="none" w:sz="0" w:space="0" w:color="auto"/>
                                <w:bottom w:val="none" w:sz="0" w:space="0" w:color="auto"/>
                                <w:right w:val="none" w:sz="0" w:space="0" w:color="auto"/>
                              </w:divBdr>
                              <w:divsChild>
                                <w:div w:id="1902977035">
                                  <w:marLeft w:val="0"/>
                                  <w:marRight w:val="0"/>
                                  <w:marTop w:val="0"/>
                                  <w:marBottom w:val="0"/>
                                  <w:divBdr>
                                    <w:top w:val="none" w:sz="0" w:space="0" w:color="auto"/>
                                    <w:left w:val="none" w:sz="0" w:space="0" w:color="auto"/>
                                    <w:bottom w:val="none" w:sz="0" w:space="0" w:color="auto"/>
                                    <w:right w:val="none" w:sz="0" w:space="0" w:color="auto"/>
                                  </w:divBdr>
                                  <w:divsChild>
                                    <w:div w:id="2020887043">
                                      <w:marLeft w:val="0"/>
                                      <w:marRight w:val="0"/>
                                      <w:marTop w:val="0"/>
                                      <w:marBottom w:val="300"/>
                                      <w:divBdr>
                                        <w:top w:val="none" w:sz="0" w:space="0" w:color="auto"/>
                                        <w:left w:val="none" w:sz="0" w:space="0" w:color="auto"/>
                                        <w:bottom w:val="none" w:sz="0" w:space="0" w:color="auto"/>
                                        <w:right w:val="none" w:sz="0" w:space="0" w:color="auto"/>
                                      </w:divBdr>
                                      <w:divsChild>
                                        <w:div w:id="1248925817">
                                          <w:marLeft w:val="0"/>
                                          <w:marRight w:val="0"/>
                                          <w:marTop w:val="0"/>
                                          <w:marBottom w:val="0"/>
                                          <w:divBdr>
                                            <w:top w:val="none" w:sz="0" w:space="0" w:color="auto"/>
                                            <w:left w:val="none" w:sz="0" w:space="0" w:color="auto"/>
                                            <w:bottom w:val="none" w:sz="0" w:space="0" w:color="auto"/>
                                            <w:right w:val="none" w:sz="0" w:space="0" w:color="auto"/>
                                          </w:divBdr>
                                          <w:divsChild>
                                            <w:div w:id="760370624">
                                              <w:marLeft w:val="0"/>
                                              <w:marRight w:val="0"/>
                                              <w:marTop w:val="0"/>
                                              <w:marBottom w:val="0"/>
                                              <w:divBdr>
                                                <w:top w:val="none" w:sz="0" w:space="0" w:color="auto"/>
                                                <w:left w:val="none" w:sz="0" w:space="0" w:color="auto"/>
                                                <w:bottom w:val="none" w:sz="0" w:space="0" w:color="auto"/>
                                                <w:right w:val="none" w:sz="0" w:space="0" w:color="auto"/>
                                              </w:divBdr>
                                              <w:divsChild>
                                                <w:div w:id="13741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608464">
      <w:bodyDiv w:val="1"/>
      <w:marLeft w:val="0"/>
      <w:marRight w:val="0"/>
      <w:marTop w:val="0"/>
      <w:marBottom w:val="0"/>
      <w:divBdr>
        <w:top w:val="none" w:sz="0" w:space="0" w:color="auto"/>
        <w:left w:val="none" w:sz="0" w:space="0" w:color="auto"/>
        <w:bottom w:val="none" w:sz="0" w:space="0" w:color="auto"/>
        <w:right w:val="none" w:sz="0" w:space="0" w:color="auto"/>
      </w:divBdr>
    </w:div>
    <w:div w:id="18523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odrive.ogb.internal.oxfam.net\office\TR%20Trading\Shop%20Support\Team\Ways%20of%20Working\REPORTS\Complaints\2016-2017\complaints_april_to_march_2017_rev_00_20170412.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pieChart>
        <c:varyColors val="1"/>
        <c:ser>
          <c:idx val="0"/>
          <c:order val="0"/>
          <c:dLbls>
            <c:dLblPos val="bestFit"/>
            <c:showVal val="1"/>
            <c:showLeaderLines val="1"/>
          </c:dLbls>
          <c:cat>
            <c:strRef>
              <c:f>'TD Complaints'!$B$47:$B$52</c:f>
              <c:strCache>
                <c:ptCount val="6"/>
                <c:pt idx="0">
                  <c:v>Poor customer service / staffing problem</c:v>
                </c:pt>
                <c:pt idx="1">
                  <c:v>Other complaints</c:v>
                </c:pt>
                <c:pt idx="2">
                  <c:v>Oxfam/Shop Policy</c:v>
                </c:pt>
                <c:pt idx="3">
                  <c:v>Refund/ Exchange</c:v>
                </c:pt>
                <c:pt idx="4">
                  <c:v>Donations in the shop</c:v>
                </c:pt>
                <c:pt idx="5">
                  <c:v>Pricing in the shop</c:v>
                </c:pt>
              </c:strCache>
            </c:strRef>
          </c:cat>
          <c:val>
            <c:numRef>
              <c:f>'TD Complaints'!$C$47:$C$52</c:f>
              <c:numCache>
                <c:formatCode>0.00%</c:formatCode>
                <c:ptCount val="6"/>
                <c:pt idx="0">
                  <c:v>0.67783505154639989</c:v>
                </c:pt>
                <c:pt idx="1">
                  <c:v>6.7010309278350513E-2</c:v>
                </c:pt>
                <c:pt idx="2">
                  <c:v>7.474226804123775E-2</c:v>
                </c:pt>
                <c:pt idx="3">
                  <c:v>9.0206185567010766E-2</c:v>
                </c:pt>
                <c:pt idx="4">
                  <c:v>4.8969072164948474E-2</c:v>
                </c:pt>
                <c:pt idx="5">
                  <c:v>4.1237113402061855E-2</c:v>
                </c:pt>
              </c:numCache>
            </c:numRef>
          </c:val>
        </c:ser>
        <c:dLbls>
          <c:showVal val="1"/>
        </c:dLbls>
        <c:firstSliceAng val="0"/>
      </c:pie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bar"/>
        <c:grouping val="clustered"/>
        <c:ser>
          <c:idx val="0"/>
          <c:order val="0"/>
          <c:tx>
            <c:strRef>
              <c:f>[1]Sheet1!$C$14</c:f>
              <c:strCache>
                <c:ptCount val="1"/>
                <c:pt idx="0">
                  <c:v>2014-15 Total</c:v>
                </c:pt>
              </c:strCache>
            </c:strRef>
          </c:tx>
          <c:cat>
            <c:strRef>
              <c:f>[1]Sheet1!$B$16:$B$21</c:f>
              <c:strCache>
                <c:ptCount val="6"/>
                <c:pt idx="0">
                  <c:v>Fundraising</c:v>
                </c:pt>
                <c:pt idx="1">
                  <c:v>Shopping</c:v>
                </c:pt>
                <c:pt idx="2">
                  <c:v>Website</c:v>
                </c:pt>
                <c:pt idx="3">
                  <c:v>Administration Errors</c:v>
                </c:pt>
                <c:pt idx="4">
                  <c:v>Campaigns &amp; Policy</c:v>
                </c:pt>
                <c:pt idx="5">
                  <c:v>Oxfam General Policy</c:v>
                </c:pt>
              </c:strCache>
            </c:strRef>
          </c:cat>
          <c:val>
            <c:numRef>
              <c:f>[1]Sheet1!$C$16:$C$21</c:f>
              <c:numCache>
                <c:formatCode>General</c:formatCode>
                <c:ptCount val="6"/>
                <c:pt idx="0">
                  <c:v>1275</c:v>
                </c:pt>
                <c:pt idx="1">
                  <c:v>308</c:v>
                </c:pt>
                <c:pt idx="2">
                  <c:v>637</c:v>
                </c:pt>
                <c:pt idx="3">
                  <c:v>384</c:v>
                </c:pt>
                <c:pt idx="4">
                  <c:v>342</c:v>
                </c:pt>
                <c:pt idx="5">
                  <c:v>214</c:v>
                </c:pt>
              </c:numCache>
            </c:numRef>
          </c:val>
        </c:ser>
        <c:ser>
          <c:idx val="1"/>
          <c:order val="1"/>
          <c:tx>
            <c:strRef>
              <c:f>[1]Sheet1!$D$14</c:f>
              <c:strCache>
                <c:ptCount val="1"/>
                <c:pt idx="0">
                  <c:v>2015-16 Total</c:v>
                </c:pt>
              </c:strCache>
            </c:strRef>
          </c:tx>
          <c:cat>
            <c:strRef>
              <c:f>[1]Sheet1!$B$16:$B$21</c:f>
              <c:strCache>
                <c:ptCount val="6"/>
                <c:pt idx="0">
                  <c:v>Fundraising</c:v>
                </c:pt>
                <c:pt idx="1">
                  <c:v>Shopping</c:v>
                </c:pt>
                <c:pt idx="2">
                  <c:v>Website</c:v>
                </c:pt>
                <c:pt idx="3">
                  <c:v>Administration Errors</c:v>
                </c:pt>
                <c:pt idx="4">
                  <c:v>Campaigns &amp; Policy</c:v>
                </c:pt>
                <c:pt idx="5">
                  <c:v>Oxfam General Policy</c:v>
                </c:pt>
              </c:strCache>
            </c:strRef>
          </c:cat>
          <c:val>
            <c:numRef>
              <c:f>[1]Sheet1!$D$16:$D$21</c:f>
              <c:numCache>
                <c:formatCode>General</c:formatCode>
                <c:ptCount val="6"/>
                <c:pt idx="0">
                  <c:v>1714</c:v>
                </c:pt>
                <c:pt idx="1">
                  <c:v>193</c:v>
                </c:pt>
                <c:pt idx="2">
                  <c:v>373</c:v>
                </c:pt>
                <c:pt idx="3">
                  <c:v>213</c:v>
                </c:pt>
                <c:pt idx="4">
                  <c:v>165</c:v>
                </c:pt>
                <c:pt idx="5">
                  <c:v>93</c:v>
                </c:pt>
              </c:numCache>
            </c:numRef>
          </c:val>
        </c:ser>
        <c:ser>
          <c:idx val="2"/>
          <c:order val="2"/>
          <c:tx>
            <c:strRef>
              <c:f>[1]Sheet1!$E$14</c:f>
              <c:strCache>
                <c:ptCount val="1"/>
                <c:pt idx="0">
                  <c:v>2016-17 Total</c:v>
                </c:pt>
              </c:strCache>
            </c:strRef>
          </c:tx>
          <c:cat>
            <c:strRef>
              <c:f>[1]Sheet1!$B$16:$B$21</c:f>
              <c:strCache>
                <c:ptCount val="6"/>
                <c:pt idx="0">
                  <c:v>Fundraising</c:v>
                </c:pt>
                <c:pt idx="1">
                  <c:v>Shopping</c:v>
                </c:pt>
                <c:pt idx="2">
                  <c:v>Website</c:v>
                </c:pt>
                <c:pt idx="3">
                  <c:v>Administration Errors</c:v>
                </c:pt>
                <c:pt idx="4">
                  <c:v>Campaigns &amp; Policy</c:v>
                </c:pt>
                <c:pt idx="5">
                  <c:v>Oxfam General Policy</c:v>
                </c:pt>
              </c:strCache>
            </c:strRef>
          </c:cat>
          <c:val>
            <c:numRef>
              <c:f>[1]Sheet1!$E$16:$E$21</c:f>
              <c:numCache>
                <c:formatCode>General</c:formatCode>
                <c:ptCount val="6"/>
                <c:pt idx="0">
                  <c:v>846</c:v>
                </c:pt>
                <c:pt idx="1">
                  <c:v>222</c:v>
                </c:pt>
                <c:pt idx="2">
                  <c:v>158</c:v>
                </c:pt>
                <c:pt idx="3">
                  <c:v>130</c:v>
                </c:pt>
                <c:pt idx="4">
                  <c:v>128</c:v>
                </c:pt>
                <c:pt idx="5">
                  <c:v>50</c:v>
                </c:pt>
              </c:numCache>
            </c:numRef>
          </c:val>
        </c:ser>
        <c:axId val="101553664"/>
        <c:axId val="102777600"/>
      </c:barChart>
      <c:catAx>
        <c:axId val="101553664"/>
        <c:scaling>
          <c:orientation val="minMax"/>
        </c:scaling>
        <c:axPos val="l"/>
        <c:tickLblPos val="nextTo"/>
        <c:crossAx val="102777600"/>
        <c:crosses val="autoZero"/>
        <c:auto val="1"/>
        <c:lblAlgn val="ctr"/>
        <c:lblOffset val="100"/>
      </c:catAx>
      <c:valAx>
        <c:axId val="102777600"/>
        <c:scaling>
          <c:orientation val="minMax"/>
        </c:scaling>
        <c:axPos val="b"/>
        <c:majorGridlines/>
        <c:numFmt formatCode="General" sourceLinked="1"/>
        <c:tickLblPos val="nextTo"/>
        <c:crossAx val="10155366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DC3AA-16C5-4E94-8F5D-C25C4A2F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Oxfam GB</Company>
  <LinksUpToDate>false</LinksUpToDate>
  <CharactersWithSpaces>29123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jneville1</dc:creator>
  <cp:lastModifiedBy>jneville1</cp:lastModifiedBy>
  <cp:revision>4</cp:revision>
  <cp:lastPrinted>2017-06-29T13:31:00Z</cp:lastPrinted>
  <dcterms:created xsi:type="dcterms:W3CDTF">2017-07-04T11:46:00Z</dcterms:created>
  <dcterms:modified xsi:type="dcterms:W3CDTF">2017-07-19T13:49:00Z</dcterms:modified>
</cp:coreProperties>
</file>